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《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推进生态优先绿色发展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建设山清水秀美丽之地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新样板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的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行动方案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》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草案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3"/>
          <w:szCs w:val="33"/>
          <w:u w:val="none"/>
          <w:lang w:val="en-US" w:eastAsia="zh-CN"/>
        </w:rPr>
        <w:t>为全面贯彻落实党的二十大精神，积极践行习近平总书记“绿水青山就是金山银山”重要</w:t>
      </w:r>
      <w:r>
        <w:rPr>
          <w:rFonts w:hint="eastAsia" w:cs="Times New Roman"/>
          <w:b w:val="0"/>
          <w:bCs w:val="0"/>
          <w:color w:val="000000"/>
          <w:spacing w:val="0"/>
          <w:sz w:val="33"/>
          <w:szCs w:val="33"/>
          <w:u w:val="none"/>
          <w:lang w:val="en-US" w:eastAsia="zh-CN"/>
        </w:rPr>
        <w:t>理念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3"/>
          <w:szCs w:val="33"/>
          <w:u w:val="none"/>
          <w:lang w:val="en-US" w:eastAsia="zh-CN"/>
        </w:rPr>
        <w:t>，有序推进巫山县山清水秀美丽之地建设。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现就《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推进生态优先绿色发展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建设山清水秀美丽之地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新样板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行动方案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》做如下政策解读。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一、编制背景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长江是中华民族的母亲河，拥有独特的生态系统，是我国重要的生态屏障，也是中华民族发展的重要支撑。生态兴则文明兴，生态衰则文明衰，建设生态文明，关系人民福祉，关乎民族未来。党的二十大报告提出“推动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3"/>
          <w:szCs w:val="33"/>
          <w:u w:val="none"/>
          <w:lang w:val="en-US" w:eastAsia="zh-CN"/>
        </w:rPr>
        <w:t>绿色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发展，促进人与自然和谐共生”，人与自然和谐共生的现代化是中国式现代化的五大重要特征之一，促进人与自然和谐共生是中国式现代化的本质要求之一。为全面贯彻落实党的二十大精神，积极践行习近平总书记“绿水青山就是金山银山”重要理念，有序推进巫山县山清水秀美丽之地建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2023年4月中旬组建《行动方案》起草工作组以来，多次召开起草工作组和相关单位负责人会议，从《行动方案》纲目、初稿、征求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意见稿、送审稿等多次征求县级部门和市管领导干部意见建议，并将《巫山县特色化高质量发展若干举措》《重庆市科学绿化试点示范建设实施方案》等相关内容融入《巫山县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推进生态优先绿色发展建设山清水秀美丽之地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新样板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的行动方案（2023-2027）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二、主要内容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《行动方案》由总体要求、重点任务和保障措施三大板块组成。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第一部分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总体要求。</w:t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t>指导思想是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3"/>
          <w:szCs w:val="33"/>
          <w:u w:val="none"/>
          <w:lang w:val="en-US" w:eastAsia="zh-CN"/>
        </w:rPr>
        <w:t>以习近平新时代中国特色社会主义思想为指导，全面贯彻落实党的二十大和市委六届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0"/>
          <w:sz w:val="33"/>
          <w:szCs w:val="33"/>
          <w:u w:val="none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3"/>
          <w:szCs w:val="33"/>
          <w:u w:val="none"/>
          <w:lang w:val="en-US" w:eastAsia="zh-CN"/>
        </w:rPr>
        <w:t>次全会精神，坚定不移贯彻习近平生态文明思想，立足新发展阶段、贯彻新发展理念、构建新发展格局，推动高质量发展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基本原则是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3"/>
          <w:szCs w:val="33"/>
          <w:u w:val="none"/>
          <w:lang w:val="en-US" w:eastAsia="zh-CN"/>
        </w:rPr>
        <w:t>把修复长江生态环境摆在压倒性位置，统筹山水林田湖草系统治理。牢固树立以人民为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0"/>
          <w:sz w:val="33"/>
          <w:szCs w:val="33"/>
          <w:u w:val="none"/>
          <w:lang w:val="en-US" w:eastAsia="zh-CN"/>
        </w:rPr>
        <w:t>中心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3"/>
          <w:szCs w:val="33"/>
          <w:u w:val="none"/>
          <w:lang w:val="en-US" w:eastAsia="zh-CN"/>
        </w:rPr>
        <w:t>的发展思想，重点解决社会关注度高、涉及人民群众切身利益的资源环境问题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0"/>
          <w:sz w:val="33"/>
          <w:szCs w:val="33"/>
          <w:u w:val="none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3"/>
          <w:szCs w:val="33"/>
          <w:u w:val="none"/>
          <w:lang w:val="en-US" w:eastAsia="zh-CN"/>
        </w:rPr>
        <w:t>深刻领会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0"/>
          <w:sz w:val="33"/>
          <w:szCs w:val="33"/>
          <w:u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3"/>
          <w:szCs w:val="33"/>
          <w:u w:val="none"/>
          <w:lang w:val="en-US" w:eastAsia="zh-CN"/>
        </w:rPr>
        <w:t>共抓大保护、不搞大开发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0"/>
          <w:sz w:val="33"/>
          <w:szCs w:val="33"/>
          <w:u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3"/>
          <w:szCs w:val="33"/>
          <w:u w:val="none"/>
          <w:lang w:val="en-US" w:eastAsia="zh-CN"/>
        </w:rPr>
        <w:t>的发展导向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0"/>
          <w:sz w:val="33"/>
          <w:szCs w:val="33"/>
          <w:u w:val="none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3"/>
          <w:szCs w:val="33"/>
          <w:u w:val="none"/>
          <w:lang w:val="en-US" w:eastAsia="zh-CN"/>
        </w:rPr>
        <w:t>深化制度改革，建立系统完整的生态文明制度体系。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sz w:val="33"/>
          <w:szCs w:val="33"/>
          <w:u w:val="none"/>
          <w:lang w:val="en-US" w:eastAsia="zh-CN"/>
        </w:rPr>
        <w:t>总体定位</w:t>
      </w: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sz w:val="33"/>
          <w:szCs w:val="33"/>
          <w:u w:val="none"/>
          <w:lang w:val="en-US" w:eastAsia="zh-CN"/>
        </w:rPr>
        <w:t>是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0"/>
          <w:sz w:val="33"/>
          <w:szCs w:val="33"/>
          <w:u w:val="none"/>
          <w:lang w:val="en-US" w:eastAsia="zh-CN"/>
        </w:rPr>
        <w:t>打造成全国山清水秀美丽之地新样板。生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态保护治理、绿色转型发展、绿色家园建设、生态制度建设、生态区域共治“巫山样板”</w:t>
      </w:r>
      <w:r>
        <w:rPr>
          <w:rFonts w:hint="eastAsia" w:ascii="Times New Roman" w:hAnsi="Times New Roman" w:eastAsia="方正仿宋_GBK" w:cs="Times New Roman"/>
          <w:color w:val="4F81BD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在优化生产生活生态空间、特殊类地区绿色转型发展、生态产品价值转化、生态建设助力乡村振兴、跨省市生态保护协同机制合作等方面作出“巫山示范”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具体目标是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到2027年，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长江上游重要生态屏障全面筑牢，生态环境质量全国领先，二氧化碳排放提前达峰，率先实现碳中和，森林覆盖率达到72%以上，空气质量优良天数比率力争达到98%以上，长江干流出境水质保持或优于入境水质，重要江河湖泊水功能区达标率达到100%，旅游综合收入达到400亿元以上，现代山地特色高效农业全产业链产值达到150亿元以上，建成100亿级生态工业集群，生态经济占经济总量突破85%，实现生态系统生产总值（GEP）和地区生产总值（GDP）双增长，GEP的GDP转化率达到55%以上，万元GDP能耗累计下降16%，城乡建设用地规模达到127平方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第二部分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重点任务。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一是生态保护治理“巫山样板”提升行动。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从谋划入手，在山水气共治上做文章。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强化国土空间规划的</w:t>
      </w:r>
      <w:r>
        <w:rPr>
          <w:rFonts w:hint="eastAsia" w:cs="Times New Roman"/>
          <w:sz w:val="32"/>
          <w:szCs w:val="40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硬约束</w:t>
      </w:r>
      <w:r>
        <w:rPr>
          <w:rFonts w:hint="eastAsia" w:cs="Times New Roman"/>
          <w:sz w:val="32"/>
          <w:szCs w:val="40"/>
          <w:lang w:val="en-US" w:eastAsia="zh-CN"/>
        </w:rPr>
        <w:t>”，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发挥好规划管控引领作用，形成永久基本农田、城镇开发边界、生态保护红线三位一体的</w:t>
      </w:r>
      <w:r>
        <w:rPr>
          <w:rFonts w:hint="eastAsia" w:cs="Times New Roman"/>
          <w:sz w:val="32"/>
          <w:szCs w:val="40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空间规划一张图</w:t>
      </w:r>
      <w:r>
        <w:rPr>
          <w:rFonts w:hint="eastAsia" w:cs="Times New Roman"/>
          <w:sz w:val="32"/>
          <w:szCs w:val="40"/>
          <w:lang w:val="en-US" w:eastAsia="zh-CN"/>
        </w:rPr>
        <w:t>”</w:t>
      </w:r>
      <w:r>
        <w:rPr>
          <w:rFonts w:hint="eastAsia"/>
          <w:szCs w:val="40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严格“三线一单”管控，构建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河流水系绿廊相连接的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两带四屏二十二廊多块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县域生态空间格局。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全面落实林长制、河长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制，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深入推进“两岸青山·千里林带”建设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，“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三水共治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水岸联动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工业污染防治等措施，巫山生态环境更加优美、生态经济更加强劲、城乡面貌更加靓丽，打造山清水秀美丽之地新样板。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绿色转型发展“巫山样板”提升行动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从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世界级知名旅游目的地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全国现代山地特色高效农业示范区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三峡库区绿色制造基地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高品质国际生态康养度假区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商文旅体融合发展消费中心城市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等5个方面全面建立现代化生态产业体系。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依托全县风、光、生物质等能源资源，优化能源消费结构，持续推进燃煤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、燃油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消费替代，提高电气化水平。大力发展绿色建筑，促进可再生能源在建筑中的规模化应用。</w:t>
      </w:r>
      <w:bookmarkStart w:id="0" w:name="_Hlk105773256"/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推动高耗能行业低碳化转型</w:t>
      </w:r>
      <w:bookmarkEnd w:id="0"/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，推动生产过程清洁化转型，推动生产方式数字化转型，构建绿色低碳工业产业体系。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绿色家园建设“巫山样板”提升行动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推动老城区提质升级，推进县城新区规划建设，提质扩容城市规模，推进城市空间优化、功能重构、形象再造、品质提升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建设更高水平全国文明县城、国家园林县城、国家卫生城市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，着力把城市建成市民引以为傲的幸福家园。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打造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一批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产业型特色小城镇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打造融合型特色小城镇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加快提升小城镇服务功能，完善人口集聚、产业发展、公共服务等设施配套，因地制宜、舒适便捷、全域覆盖、层级叠加的城镇生活服务圈。实施“生态田园”建设工程，推进交通、能源、水利等农村基础设施和养老、教育、医疗等公共服务设施建设，开展农村人居环境整治提升五年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548DD4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四是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生态制度建设“巫山样板”提升行动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建立自然资源分类标准和调查监测评价制度，开展自然资源资产核算评价，探索编制自然资源资产负债表。制定生态环境分区管控方案和生态环境准入清单，严控重污染企业和项目布局。发挥人大、行政、司法、审计和社会监督作用，强力开展护水、护渔、护砂、护法、护民、护林“六护行动”。建立完善区域内长江流域常态化巡访暗访制度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自然资源行政执法与检察公益诉讼衔接平台，完善公益诉讼和生态损害赔偿制度衔接机制。落实全流域横向生态补偿机制，建立资金补偿、对口协作、产业转移、人才培训、共建园区等方式的横向生态保护补偿制度。完善绿色金融市场体系，推动银行、证券、基金等金融机构与巫山合作设立生态产品价值实现专项基金</w:t>
      </w:r>
      <w:r>
        <w:rPr>
          <w:rFonts w:hint="default" w:ascii="Times New Roman" w:hAnsi="Times New Roman" w:eastAsia="方正仿宋_GBK" w:cs="Times New Roman"/>
          <w:b w:val="0"/>
          <w:bCs w:val="0"/>
          <w:color w:val="548DD4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2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五是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生态区域共治“巫山样板”提升行动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突出奉巫巫、渝陕鄂、长江流域上下游三个层面，重点开展山体保护修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复和跨界流域水污染联防联控，强化长江、河流、湖泊的联合巡查管理，推动生态旅游共建共享，界河共建共管，协同打造长江三峡生态文旅大品牌。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第三部分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保障措施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eastAsia" w:ascii="方正仿宋_GBK" w:eastAsia="方正仿宋_GBK" w:cs="方正仿宋_GBK"/>
          <w:sz w:val="32"/>
          <w:szCs w:val="32"/>
        </w:rPr>
        <w:t>重点提出强化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组织领导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责任落实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资金保障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督查考核</w:t>
      </w:r>
      <w:r>
        <w:rPr>
          <w:rFonts w:hint="eastAsia" w:ascii="方正仿宋_GBK" w:eastAsia="方正仿宋_GBK" w:cs="方正仿宋_GBK"/>
          <w:sz w:val="32"/>
          <w:szCs w:val="32"/>
        </w:rPr>
        <w:t>四个方面的要求，牢固树立一体化发展理念，加快构建高效有力的保障体系。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ZWQ0MmU2MDFlYjdiMmNlYTkyYjExNDA0NWUxNjIifQ=="/>
  </w:docVars>
  <w:rsids>
    <w:rsidRoot w:val="777155F7"/>
    <w:rsid w:val="1CAC382F"/>
    <w:rsid w:val="3A9D5180"/>
    <w:rsid w:val="4D4147DE"/>
    <w:rsid w:val="553C5961"/>
    <w:rsid w:val="6DB95977"/>
    <w:rsid w:val="76FB6355"/>
    <w:rsid w:val="770435EE"/>
    <w:rsid w:val="777155F7"/>
    <w:rsid w:val="9DFDF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Char Char3"/>
    <w:basedOn w:val="1"/>
    <w:qFormat/>
    <w:uiPriority w:val="99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904</Words>
  <Characters>906</Characters>
  <Lines>0</Lines>
  <Paragraphs>0</Paragraphs>
  <TotalTime>0</TotalTime>
  <ScaleCrop>false</ScaleCrop>
  <LinksUpToDate>false</LinksUpToDate>
  <CharactersWithSpaces>907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2023-08-21T09:39:00Z</dcterms:created>
  <dc:creator>淆默</dc:creator>
  <cp:lastModifiedBy>马仕平</cp:lastModifiedBy>
  <cp:lastPrinted>2023-08-21T16:27:00Z</cp:lastPrinted>
  <dcterms:modified xsi:type="dcterms:W3CDTF">2023-12-11T09:30:46Z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AF594413C439416EA411125893957B22_13</vt:lpwstr>
  </property>
</Properties>
</file>