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31E8E">
      <w:pPr>
        <w:rPr>
          <w:rFonts w:hint="default" w:ascii="Times New Roman" w:hAnsi="Times New Roman" w:eastAsia="方正黑体_GBK" w:cs="Times New Roman"/>
        </w:rPr>
      </w:pPr>
    </w:p>
    <w:p w14:paraId="6F86578C">
      <w:pPr>
        <w:rPr>
          <w:rFonts w:hint="default" w:ascii="Times New Roman" w:hAnsi="Times New Roman" w:eastAsia="方正黑体_GBK" w:cs="Times New Roman"/>
        </w:rPr>
      </w:pPr>
    </w:p>
    <w:p w14:paraId="1FEE9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093CF9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</w:rPr>
        <w:pict>
          <v:shape id="AutoShape 4" o:spid="_x0000_s1026" o:spt="136" type="#_x0000_t136" style="position:absolute;left:0pt;margin-left:92.15pt;margin-top:99.25pt;height:53.85pt;width:411pt;mso-position-horizontal-relative:page;mso-position-vertical-relative:margin;z-index:251660288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 aspectratio="f"/>
            <v:textpath on="t" fitshape="t" fitpath="t" trim="t" xscale="f" string="培石乡人民政府文件" style="font-family:方正小标宋_GBK;font-size:36pt;font-weight:bold;v-text-align:center;"/>
          </v:shape>
        </w:pict>
      </w:r>
    </w:p>
    <w:p w14:paraId="212560C9">
      <w:pPr>
        <w:rPr>
          <w:rFonts w:hint="default" w:ascii="Times New Roman" w:hAnsi="Times New Roman" w:cs="Times New Roman"/>
        </w:rPr>
      </w:pPr>
    </w:p>
    <w:p w14:paraId="08D6893C">
      <w:pPr>
        <w:jc w:val="center"/>
        <w:rPr>
          <w:rFonts w:hint="default" w:ascii="Times New Roman" w:hAnsi="Times New Roman" w:cs="Times New Roman"/>
        </w:rPr>
      </w:pPr>
    </w:p>
    <w:p w14:paraId="5B11706B">
      <w:pPr>
        <w:pStyle w:val="2"/>
        <w:rPr>
          <w:rFonts w:hint="default" w:ascii="Times New Roman" w:hAnsi="Times New Roman" w:cs="Times New Roman"/>
        </w:rPr>
      </w:pPr>
    </w:p>
    <w:p w14:paraId="36F0CE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培石府发〔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号</w:t>
      </w:r>
    </w:p>
    <w:p w14:paraId="22A01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margin">
                  <wp:posOffset>3060700</wp:posOffset>
                </wp:positionV>
                <wp:extent cx="5615940" cy="0"/>
                <wp:effectExtent l="0" t="10795" r="3810" b="177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41pt;height:0pt;width:442.2pt;mso-position-horizontal:center;mso-position-horizontal-relative:page;mso-position-vertical-relative:margin;z-index:251659264;mso-width-relative:page;mso-height-relative:page;" filled="f" stroked="t" coordsize="21600,21600" o:gfxdata="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C9ue11gAAAAgBAAAPAAAAAAAAAAEAIAAAACIAAABkcnMvZG93bnJldi54bWxQSwEC&#10;FAAUAAAACACHTuJAxpNJNvYBAADlAwAADgAAAAAAAAABACAAAAAlAQAAZHJzL2Uyb0RvYy54bWxQ&#10;SwUGAAAAAAYABgBZAQAAjQUAAAAA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65C9329E">
      <w:pPr>
        <w:pStyle w:val="2"/>
        <w:rPr>
          <w:rFonts w:hint="default" w:ascii="Times New Roman" w:hAnsi="Times New Roman" w:cs="Times New Roman"/>
          <w:lang w:eastAsia="zh-CN"/>
        </w:rPr>
      </w:pPr>
    </w:p>
    <w:p w14:paraId="2E82D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培石乡人民政府</w:t>
      </w:r>
    </w:p>
    <w:p w14:paraId="7E5821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关于印发《</w:t>
      </w:r>
      <w:r>
        <w:rPr>
          <w:rFonts w:hint="default" w:ascii="Times New Roman" w:hAnsi="Times New Roman" w:eastAsia="方正小标宋_GBK" w:cs="Times New Roman"/>
          <w:color w:val="auto"/>
          <w:spacing w:val="0"/>
          <w:position w:val="0"/>
          <w:sz w:val="44"/>
          <w:szCs w:val="44"/>
          <w:shd w:val="clear" w:color="auto" w:fill="auto"/>
          <w:lang w:val="en-US" w:eastAsia="zh-CN"/>
        </w:rPr>
        <w:t>培石乡地质灾害防治群防群治百日攻坚行动实施方案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》的通知</w:t>
      </w:r>
    </w:p>
    <w:p w14:paraId="4062E9F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</w:p>
    <w:p w14:paraId="6E5D767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各村（居）、机关各办公室、各乡属单位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：</w:t>
      </w:r>
    </w:p>
    <w:p w14:paraId="324BFFA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现将《培石乡地质灾害防治群防群治百日攻坚行动实施方案》印发给你们，请遵照执行。</w:t>
      </w:r>
    </w:p>
    <w:p w14:paraId="132DD29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</w:pPr>
    </w:p>
    <w:p w14:paraId="6E9201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</w:t>
      </w:r>
    </w:p>
    <w:p w14:paraId="182907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                </w:t>
      </w:r>
    </w:p>
    <w:p w14:paraId="054B5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        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培石乡人民政府</w:t>
      </w:r>
      <w:r>
        <w:rPr>
          <w:rFonts w:hint="default" w:ascii="Times New Roman" w:hAnsi="Times New Roman" w:eastAsia="方正仿宋_GBK" w:cs="Times New Roman"/>
          <w:color w:val="FFFFFF"/>
          <w:sz w:val="32"/>
          <w:szCs w:val="32"/>
        </w:rPr>
        <w:t>日日日日</w:t>
      </w:r>
    </w:p>
    <w:p w14:paraId="0EBA048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5" w:firstLineChars="133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default" w:ascii="Times New Roman" w:hAnsi="Times New Roman" w:eastAsia="方正仿宋_GBK" w:cs="Times New Roman"/>
          <w:color w:val="FFFFFF"/>
          <w:sz w:val="32"/>
          <w:szCs w:val="32"/>
        </w:rPr>
        <w:t>日日日日</w:t>
      </w:r>
    </w:p>
    <w:p w14:paraId="7B7E83AF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sectPr>
          <w:footerReference r:id="rId3" w:type="default"/>
          <w:pgSz w:w="11906" w:h="16838"/>
          <w:pgMar w:top="2098" w:right="1474" w:bottom="1985" w:left="1588" w:header="720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579" w:charSpace="0"/>
        </w:sectPr>
      </w:pPr>
    </w:p>
    <w:p w14:paraId="306E5C67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培石乡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地质灾害防治群防群治</w:t>
      </w:r>
    </w:p>
    <w:p w14:paraId="03C91CB1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百日攻坚行动实施方案</w:t>
      </w:r>
    </w:p>
    <w:p w14:paraId="46FC79B5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</w:rPr>
      </w:pPr>
    </w:p>
    <w:p w14:paraId="4698D8CA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为认真贯彻落实县委、县政府关于地质灾害防治相关工作部署要求，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压紧压实群防群治防控责任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结合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eastAsia="zh-CN"/>
        </w:rPr>
        <w:t>我乡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实际情况，特制定本实施方案，所有工作举措全部明确到人、细化到岗、落实到点位，确保务实管用、落地见效。</w:t>
      </w:r>
      <w:bookmarkStart w:id="0" w:name="heading_0"/>
    </w:p>
    <w:p w14:paraId="16C0C467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6"/>
        </w:rPr>
        <w:t>一、</w:t>
      </w:r>
      <w:bookmarkEnd w:id="0"/>
      <w:bookmarkStart w:id="1" w:name="heading_2"/>
      <w:r>
        <w:rPr>
          <w:rFonts w:hint="default" w:ascii="Times New Roman" w:hAnsi="Times New Roman" w:eastAsia="方正黑体_GBK" w:cs="Times New Roman"/>
          <w:color w:val="auto"/>
          <w:sz w:val="32"/>
          <w:szCs w:val="36"/>
        </w:rPr>
        <w:t>工作目标</w:t>
      </w:r>
      <w:bookmarkEnd w:id="1"/>
    </w:p>
    <w:p w14:paraId="0300740F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通过为期100天的专项攻坚，全面摸清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eastAsia="zh-CN"/>
        </w:rPr>
        <w:t>全乡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地质灾害隐患底数，健全隐患台账动态管理制度；规范群防群治监测巡查流程，完善预警响应、紧急转移、应急处置机制，群众防灾避险意识和自救互救能力全面提升；存量隐患全部整改销号，增量隐患动态清零，地质灾害防控能力显著提升。</w:t>
      </w:r>
    </w:p>
    <w:p w14:paraId="0C9B17F5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6"/>
          <w:lang w:eastAsia="zh-CN"/>
        </w:rPr>
      </w:pPr>
      <w:bookmarkStart w:id="2" w:name="heading_7"/>
      <w:r>
        <w:rPr>
          <w:rFonts w:hint="default" w:ascii="Times New Roman" w:hAnsi="Times New Roman" w:eastAsia="方正黑体_GBK" w:cs="Times New Roman"/>
          <w:color w:val="auto"/>
          <w:sz w:val="32"/>
          <w:szCs w:val="36"/>
          <w:lang w:eastAsia="zh-CN"/>
        </w:rPr>
        <w:t>二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6"/>
        </w:rPr>
        <w:t>、</w:t>
      </w:r>
      <w:bookmarkEnd w:id="2"/>
      <w:r>
        <w:rPr>
          <w:rFonts w:hint="default" w:ascii="Times New Roman" w:hAnsi="Times New Roman" w:eastAsia="方正黑体_GBK" w:cs="Times New Roman"/>
          <w:color w:val="auto"/>
          <w:sz w:val="32"/>
          <w:szCs w:val="36"/>
          <w:lang w:eastAsia="zh-CN"/>
        </w:rPr>
        <w:t>重点任务</w:t>
      </w:r>
    </w:p>
    <w:p w14:paraId="72575966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6"/>
        </w:rPr>
      </w:pPr>
      <w:bookmarkStart w:id="3" w:name="heading_9"/>
      <w:r>
        <w:rPr>
          <w:rFonts w:hint="default" w:ascii="Times New Roman" w:hAnsi="Times New Roman" w:eastAsia="方正楷体_GBK" w:cs="Times New Roman"/>
          <w:color w:val="auto"/>
          <w:sz w:val="32"/>
          <w:szCs w:val="36"/>
        </w:rPr>
        <w:t>（一）排——全域拉网排查建档</w:t>
      </w:r>
      <w:bookmarkEnd w:id="3"/>
    </w:p>
    <w:p w14:paraId="4B8963C3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</w:rPr>
        <w:t xml:space="preserve">1. 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排得全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明确十一大类排查范围（在册地灾点、切坡建房、靠山临沟临水房屋、老旧危房、高陡边坡、人工扰动边坡、在建小型工程、废弃矿山采石区、聚居点及安置区、学校卫生室等公共场所、河道山坪塘周边），逐山逐坡逐户逐沟推进，确保全域覆盖无盲区。</w:t>
      </w:r>
    </w:p>
    <w:p w14:paraId="15C81A0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2. 排得细。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重点核查边坡开裂、土体松动、落石、沟渠堵塞、墙体地面变形、坡体渗水、树木歪斜、路面沉降变形等八类前兆特征，做到点位准、情况明、数据实。</w:t>
      </w:r>
    </w:p>
    <w:p w14:paraId="5F4801E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</w:rPr>
        <w:t xml:space="preserve">. 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eastAsia="zh-CN"/>
        </w:rPr>
        <w:t>排得实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每组配1名驻村干部督导、2名村干部、1名网格员，实行“村干部包组、网格员包片、群测员包点”三级责任体系，实名制落责，排查记录详实完整。</w:t>
      </w:r>
    </w:p>
    <w:p w14:paraId="3034728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</w:rPr>
        <w:t xml:space="preserve">. 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eastAsia="zh-CN"/>
        </w:rPr>
        <w:t>建得清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建立“一隐患一档案、一点一台账”，按蓝（一般）、黄（较大）、红（重大）三色分级建档管控，明确责任人、监测人、整改措施、时限、状态，每日更新、动态调整。</w:t>
      </w:r>
    </w:p>
    <w:p w14:paraId="05C379D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6"/>
        </w:rPr>
      </w:pPr>
      <w:bookmarkStart w:id="4" w:name="heading_10"/>
      <w:r>
        <w:rPr>
          <w:rFonts w:hint="default" w:ascii="Times New Roman" w:hAnsi="Times New Roman" w:eastAsia="方正楷体_GBK" w:cs="Times New Roman"/>
          <w:color w:val="auto"/>
          <w:sz w:val="32"/>
          <w:szCs w:val="36"/>
        </w:rPr>
        <w:t>（二）巡——常态化群防巡监测控</w:t>
      </w:r>
      <w:bookmarkEnd w:id="4"/>
    </w:p>
    <w:p w14:paraId="4A7347D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1. 定点有人守。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在册隐患点、重大风险点，每点明确1名群测员+1名村干部包保；日常每日巡查1次，雨天及雨后24小时内每2小时巡查1次，夜间不间断。</w:t>
      </w:r>
    </w:p>
    <w:p w14:paraId="769E126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 w:val="0"/>
        <w:spacing w:afterAutospacing="0"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2. 片区有人巡。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网格员对责任片区内非在册风险区域每日全域巡查，重点盯防“四邻一区”（临坡、临崖、临水、临沟及人员聚居区），第一时间发现新生隐患。</w:t>
      </w:r>
    </w:p>
    <w:p w14:paraId="32E666B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3. 巡查有记录。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全员规范填写《地质灾害群防群治巡查台账》，时间、点位、隐患变化、天气、处置措施五要素齐全，全程可溯源，严禁空报、漏报、补报。</w:t>
      </w:r>
    </w:p>
    <w:p w14:paraId="140D44D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4. 邻里能联动。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发动住户、独居老人家属及周边群众建立邻里互助监测机制，发现落石、裂缝、渗水、异响即报网格员，变“专业防”为“全民防”。</w:t>
      </w:r>
    </w:p>
    <w:p w14:paraId="65C81D9C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6"/>
        </w:rPr>
        <w:t>（三）叫——预警响应闭环联动</w:t>
      </w:r>
    </w:p>
    <w:p w14:paraId="66EA9443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1.叫得全。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建立“乡—村—组—群防员—农户”五级预警推送机制，接到预警信息后10分钟内传达至所有责任人、监测员、受威胁群众，全覆盖无遗漏。</w:t>
      </w:r>
    </w:p>
    <w:p w14:paraId="3DAEE7BD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2.叫得醒。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明确“谁通知、通知谁、怎么通知”，综合运用电话、微信、入户、敲锣打鼓、大喇叭等多种手段交叉确认，确保预警信息既发得出更收得到、能响应。</w:t>
      </w:r>
    </w:p>
    <w:p w14:paraId="744E282C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3.撤得快。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刚性执行“三避让”（暴雨预警主动避、险情前兆提前避、夜间降雨强制避）和“三个紧急撤离”（裂缝渗水落石立即撤、降雨超阈值立即撤、预警红色立即撤），坚决果断，不心存侥幸。</w:t>
      </w:r>
    </w:p>
    <w:p w14:paraId="2C4CDD1C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6"/>
        </w:rPr>
        <w:t>（四）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6"/>
          <w:lang w:val="en-US" w:eastAsia="zh-CN"/>
        </w:rPr>
        <w:t>宣——全民群防宣传劝导</w:t>
      </w:r>
    </w:p>
    <w:p w14:paraId="089FC86F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1.户户走到位。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网格员、村干部每周入户宣讲，重点面向边坡住户、老旧房屋住户、独居老人、偏远农户，面对面讲解前兆特征、避险路线、转移地点、自救方法，做到户户知晓、人人掌握。</w:t>
      </w:r>
    </w:p>
    <w:p w14:paraId="5E439E52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2.喇叭响起来。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利用村村响广播每日早中晚定时播报防灾知识，微信群、“愉快政”推送预警信息和防控常识，村组路口张贴海报、悬挂横幅、发放手册，线上线下齐发力。</w:t>
      </w:r>
    </w:p>
    <w:p w14:paraId="5EA580AA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3.演练动真格。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攻坚期间每村至少开展1次实战化避险转移演练，涵盖预警通知、人员集结、快速转移、安置值守、物资取用全流程，以练促防、以练备战。</w:t>
      </w:r>
    </w:p>
    <w:p w14:paraId="09DEA6B1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4.劝导跟得上。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组建村级防灾劝导队，对违规切坡建房、边坡逗留、雨天进山、危险区域作业等行为及时劝导制止，引导群众主动规避风险，源头上减少人为致灾因素。</w:t>
      </w:r>
    </w:p>
    <w:p w14:paraId="037EB020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6"/>
          <w:lang w:val="en-US" w:eastAsia="zh-CN"/>
        </w:rPr>
        <w:t>（五）赋——数字赋能智慧防灾</w:t>
      </w:r>
    </w:p>
    <w:p w14:paraId="11B3D662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1.隐患入库数字化。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依托地质灾害风险管控平台，将排查发现的所有隐患点位录入数据库，实现位置上图、属性归档、状态实时更新，一屏统览、一键调阅。</w:t>
      </w:r>
    </w:p>
    <w:p w14:paraId="007F6315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2.巡查轨迹可追溯。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群测员、网格员巡查时使用定位打卡、照片水印、实时上报等功能，巡查轨迹自动记录，确保巡查责任落实到人、到点、到时，杜绝虚假巡查。</w:t>
      </w:r>
    </w:p>
    <w:p w14:paraId="7A24D5C8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3.预警信息一键达。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利用短信、微信、应急广播等平台，实现预警信息一键群发至五级责任人，自动统计接收确认情况，对未确认人员自动提醒、人工跟进，确保叫应闭环可量化、可核验。</w:t>
      </w:r>
    </w:p>
    <w:p w14:paraId="3603E4CD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4.辅助决策有支撑。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整合气象雨量数据、隐患点实时监测数据，辅助分析研判风险趋势，为会商调度、人员转移决策提供可视化的数据支撑，实现从“凭经验判断”向“靠数据研判”转变。</w:t>
      </w:r>
    </w:p>
    <w:p w14:paraId="03AAA35B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6"/>
          <w:lang w:val="en-US" w:eastAsia="zh-CN"/>
        </w:rPr>
        <w:t>（六）改——隐患分类清零整治</w:t>
      </w:r>
    </w:p>
    <w:p w14:paraId="09E75E9D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1.蓝色即改。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存在零星浮石、沟渠轻微堵塞、土体局部松动，但暂无直接威胁人员居住安全，变形迹象不明显，或属于日常管护不到位导致的问题。组织人员清理边坡松动浮石、疏通排水沟及涵管、夯实或整平松软地面。当日完成。</w:t>
      </w:r>
    </w:p>
    <w:p w14:paraId="2963013D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2.黄色限改。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边坡存在明显开裂、地面出现沉降变形、坡体有渗水现象，对周边1-2户房屋或行人安全构成威胁，但尚未出现大面积滑动迹象。组织施工力量进行坡面削方减载、修建截排水沟引流地表水、浆砌片石护坡或黏土压实裂缝，防止雨水下渗。7日内完成。</w:t>
      </w:r>
    </w:p>
    <w:p w14:paraId="19E12DC3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6"/>
          <w:lang w:val="en-US" w:eastAsia="zh-CN"/>
        </w:rPr>
        <w:t>3.红色重治。</w:t>
      </w:r>
      <w:bookmarkStart w:id="5" w:name="heading_15"/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山体出现贯通性裂缝、大规模土体位移、持续落石且频率增加，直接威胁多人居住房屋、学校、安置区等，或已发生局部垮塌但未稳定。报上级部门申请工程治理项目，由专业地勘单位进行勘察设计，采取抗滑桩、挡土墙、锚索加固等根治性工程，或申请搬迁避让项目。</w:t>
      </w:r>
    </w:p>
    <w:p w14:paraId="55465DA8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6"/>
          <w:lang w:eastAsia="zh-CN"/>
        </w:rPr>
        <w:t>四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6"/>
        </w:rPr>
        <w:t>、阶段工作安排</w:t>
      </w:r>
      <w:bookmarkEnd w:id="5"/>
    </w:p>
    <w:p w14:paraId="29D47152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6"/>
        </w:rPr>
      </w:pPr>
      <w:bookmarkStart w:id="6" w:name="heading_16"/>
      <w:r>
        <w:rPr>
          <w:rFonts w:hint="default" w:ascii="Times New Roman" w:hAnsi="Times New Roman" w:eastAsia="方正楷体_GBK" w:cs="Times New Roman"/>
          <w:color w:val="auto"/>
          <w:sz w:val="32"/>
          <w:szCs w:val="36"/>
        </w:rPr>
        <w:t>（一）动员部署、全面排查阶段（第1—20天）</w:t>
      </w:r>
      <w:bookmarkEnd w:id="6"/>
    </w:p>
    <w:p w14:paraId="4B132FD5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召开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eastAsia="zh-CN"/>
        </w:rPr>
        <w:t>全乡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百日攻坚行动部署会，细化方案、压实责任、全员培训；完成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eastAsia="zh-CN"/>
        </w:rPr>
        <w:t>全乡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所有区域拉网式排查，建立完整隐患台账，完成隐患分级分类、点位标注、责任人定岗，完成首轮全覆盖宣传。</w:t>
      </w:r>
    </w:p>
    <w:p w14:paraId="6D56F1D7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6"/>
        </w:rPr>
      </w:pPr>
      <w:bookmarkStart w:id="7" w:name="heading_17"/>
      <w:r>
        <w:rPr>
          <w:rFonts w:hint="default" w:ascii="Times New Roman" w:hAnsi="Times New Roman" w:eastAsia="方正楷体_GBK" w:cs="Times New Roman"/>
          <w:color w:val="auto"/>
          <w:sz w:val="32"/>
          <w:szCs w:val="36"/>
        </w:rPr>
        <w:t>（二）集中整治、重点攻坚阶段（第21—80天）</w:t>
      </w:r>
      <w:bookmarkEnd w:id="7"/>
    </w:p>
    <w:p w14:paraId="0853CE84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对照隐患台账逐项推进整改销号，落实常态化巡查监测、预警联动、宣传劝导；对重大隐患挂牌督办、重点管控，完成各村应急演练，完善应急保障体系，动态清零各类隐患。</w:t>
      </w:r>
    </w:p>
    <w:p w14:paraId="7718C8D8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6"/>
        </w:rPr>
      </w:pPr>
      <w:bookmarkStart w:id="8" w:name="heading_18"/>
      <w:r>
        <w:rPr>
          <w:rFonts w:hint="default" w:ascii="Times New Roman" w:hAnsi="Times New Roman" w:eastAsia="方正楷体_GBK" w:cs="Times New Roman"/>
          <w:color w:val="auto"/>
          <w:sz w:val="32"/>
          <w:szCs w:val="36"/>
        </w:rPr>
        <w:t>（三）巩固提升、总结验收阶段（第81—100天）</w:t>
      </w:r>
      <w:bookmarkEnd w:id="8"/>
    </w:p>
    <w:p w14:paraId="3629D613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开展隐患整改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回头看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</w:rPr>
        <w:t>，复核所有整改点位，严防问题反弹；梳理攻坚工作台账、总结经验做法、补齐工作短板；健全长效群防群治管控机制，固化常态化工作制度。</w:t>
      </w:r>
    </w:p>
    <w:p w14:paraId="60E10236">
      <w:pPr>
        <w:keepNext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6"/>
        </w:rPr>
      </w:pPr>
      <w:bookmarkStart w:id="9" w:name="heading_19"/>
      <w:r>
        <w:rPr>
          <w:rFonts w:hint="default" w:ascii="Times New Roman" w:hAnsi="Times New Roman" w:eastAsia="方正黑体_GBK" w:cs="Times New Roman"/>
          <w:color w:val="auto"/>
          <w:sz w:val="32"/>
          <w:szCs w:val="36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6"/>
        </w:rPr>
        <w:t>、</w:t>
      </w:r>
      <w:bookmarkEnd w:id="9"/>
      <w:bookmarkStart w:id="10" w:name="heading_24"/>
      <w:r>
        <w:rPr>
          <w:rFonts w:hint="default" w:ascii="Times New Roman" w:hAnsi="Times New Roman" w:eastAsia="方正黑体_GBK" w:cs="Times New Roman"/>
          <w:color w:val="auto"/>
          <w:sz w:val="32"/>
          <w:szCs w:val="36"/>
        </w:rPr>
        <w:t>工作要求</w:t>
      </w:r>
      <w:bookmarkEnd w:id="10"/>
    </w:p>
    <w:p w14:paraId="4F0F32A0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6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6"/>
          <w:lang w:val="en-US" w:eastAsia="zh-CN"/>
        </w:rPr>
        <w:t>一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6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6"/>
        </w:rPr>
        <w:t>压紧压实工作责任</w:t>
      </w:r>
    </w:p>
    <w:p w14:paraId="5285D395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构建统筹推进、督查督导、闭环管控一体化工作机制。依托领导小组每周调度机制，复盘工作进度、通报整治成效、曝光突出问题、破解推进堵点；严格落实乡领导包村、驻村干部包组包隐患点的挂钩督导制度，推动相关人员常态化下沉一线，督促台账建立、隐患整改、宣传值守、应急准备等各项工作落地落细。</w:t>
      </w:r>
    </w:p>
    <w:p w14:paraId="422B680A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6"/>
          <w:lang w:eastAsia="zh-CN"/>
        </w:rPr>
        <w:t>（二）闭环管理抓好隐患处置</w:t>
      </w:r>
    </w:p>
    <w:p w14:paraId="6FDF3ACD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严格落实地质灾害隐患点全流程闭环管理要求，规范执行“排查—登记—整改—验收—销号—回头看”工作流程。健全隐患动态排查整治台账，做到排查无死角、整改无盲区、验收严标准、销号可追溯，全程留存工作资料、完善台账归档，实现隐患动态管控、常态清零，坚决杜绝隐患反弹、问题反复。</w:t>
      </w:r>
    </w:p>
    <w:p w14:paraId="37868833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6"/>
          <w:lang w:eastAsia="zh-CN"/>
        </w:rPr>
        <w:t>（三）协同联动健全常态长效</w:t>
      </w:r>
    </w:p>
    <w:p w14:paraId="5BAA7A30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各村、各科室要充分认清地质灾害防治工作的严峻性紧迫性，坚决杜绝形式主义，强化部门与村社的协同联动、信息共享，构建全域联动、全民参与的群防群治格局。要以本次百日攻坚为契机，固化巡查、监测、宣传、处置常态化工作机制，持续提升全乡地质灾害防控能力。</w:t>
      </w:r>
    </w:p>
    <w:p w14:paraId="221ADD7A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6"/>
          <w:lang w:eastAsia="zh-CN"/>
        </w:rPr>
      </w:pPr>
    </w:p>
    <w:p w14:paraId="0086BEA8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eastAsia="zh-CN"/>
        </w:rPr>
        <w:t>附件：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1.地灾防治群防群治百日攻坚行动任务清单</w:t>
      </w:r>
    </w:p>
    <w:p w14:paraId="68CD9208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ind w:firstLine="960" w:firstLineChars="3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t>2.地质灾害群防群治巡查及问题整改“三色”台账</w:t>
      </w:r>
    </w:p>
    <w:p w14:paraId="39DC981A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ind w:firstLine="960" w:firstLineChars="3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</w:p>
    <w:p w14:paraId="26150563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ind w:firstLine="960" w:firstLineChars="3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</w:p>
    <w:p w14:paraId="18DE1641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</w:pPr>
    </w:p>
    <w:p w14:paraId="26043F96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6"/>
          <w:lang w:val="en-US" w:eastAsia="zh-CN"/>
        </w:rPr>
        <w:sectPr>
          <w:pgSz w:w="11906" w:h="16838"/>
          <w:pgMar w:top="2098" w:right="1474" w:bottom="1985" w:left="1588" w:header="720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579" w:charSpace="0"/>
        </w:sectPr>
      </w:pPr>
    </w:p>
    <w:p w14:paraId="4F75F9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left"/>
        <w:textAlignment w:val="baseline"/>
        <w:rPr>
          <w:rStyle w:val="14"/>
          <w:rFonts w:hint="default" w:ascii="Times New Roman" w:hAnsi="Times New Roman" w:eastAsia="方正黑体_GBK" w:cs="Times New Roman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14"/>
          <w:rFonts w:hint="default" w:ascii="Times New Roman" w:hAnsi="Times New Roman" w:eastAsia="方正黑体_GBK" w:cs="Times New Roman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附件1</w:t>
      </w:r>
    </w:p>
    <w:p w14:paraId="67F42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720" w:firstLineChars="200"/>
        <w:jc w:val="center"/>
        <w:textAlignment w:val="baseline"/>
        <w:rPr>
          <w:rStyle w:val="14"/>
          <w:rFonts w:hint="default" w:ascii="Times New Roman" w:hAnsi="Times New Roman" w:eastAsia="方正小标宋_GBK" w:cs="Times New Roman"/>
          <w:b w:val="0"/>
          <w:i w:val="0"/>
          <w:caps w:val="0"/>
          <w:color w:val="000000"/>
          <w:spacing w:val="0"/>
          <w:w w:val="100"/>
          <w:kern w:val="2"/>
          <w:sz w:val="36"/>
          <w:szCs w:val="36"/>
          <w:vertAlign w:val="baseline"/>
          <w:lang w:val="en-US" w:eastAsia="zh-CN" w:bidi="ar-SA"/>
        </w:rPr>
      </w:pPr>
      <w:r>
        <w:rPr>
          <w:rStyle w:val="14"/>
          <w:rFonts w:hint="default" w:ascii="Times New Roman" w:hAnsi="Times New Roman" w:eastAsia="方正小标宋_GBK" w:cs="Times New Roman"/>
          <w:b w:val="0"/>
          <w:i w:val="0"/>
          <w:caps w:val="0"/>
          <w:color w:val="000000"/>
          <w:spacing w:val="0"/>
          <w:w w:val="100"/>
          <w:kern w:val="2"/>
          <w:sz w:val="36"/>
          <w:szCs w:val="36"/>
          <w:lang w:val="en-US" w:eastAsia="zh-CN" w:bidi="ar-SA"/>
        </w:rPr>
        <w:t>地灾防治群防群治百日攻坚行动任务清单</w:t>
      </w:r>
    </w:p>
    <w:tbl>
      <w:tblPr>
        <w:tblStyle w:val="11"/>
        <w:tblW w:w="13561" w:type="dxa"/>
        <w:tblInd w:w="-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7245"/>
        <w:gridCol w:w="1495"/>
        <w:gridCol w:w="1987"/>
        <w:gridCol w:w="1417"/>
      </w:tblGrid>
      <w:tr w14:paraId="29330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tblHeader/>
        </w:trPr>
        <w:tc>
          <w:tcPr>
            <w:tcW w:w="1417" w:type="dxa"/>
            <w:noWrap w:val="0"/>
            <w:vAlign w:val="center"/>
          </w:tcPr>
          <w:p w14:paraId="7BAF1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重点任务</w:t>
            </w:r>
          </w:p>
        </w:tc>
        <w:tc>
          <w:tcPr>
            <w:tcW w:w="7245" w:type="dxa"/>
            <w:noWrap w:val="0"/>
            <w:vAlign w:val="center"/>
          </w:tcPr>
          <w:p w14:paraId="1E663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具体举措</w:t>
            </w:r>
          </w:p>
        </w:tc>
        <w:tc>
          <w:tcPr>
            <w:tcW w:w="1495" w:type="dxa"/>
            <w:noWrap w:val="0"/>
            <w:vAlign w:val="center"/>
          </w:tcPr>
          <w:p w14:paraId="242DE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牵头</w:t>
            </w: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987" w:type="dxa"/>
            <w:noWrap w:val="0"/>
            <w:vAlign w:val="center"/>
          </w:tcPr>
          <w:p w14:paraId="750BD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配合单位</w:t>
            </w:r>
          </w:p>
        </w:tc>
        <w:tc>
          <w:tcPr>
            <w:tcW w:w="1417" w:type="dxa"/>
            <w:noWrap w:val="0"/>
            <w:vAlign w:val="center"/>
          </w:tcPr>
          <w:p w14:paraId="60907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完成时限</w:t>
            </w:r>
          </w:p>
        </w:tc>
      </w:tr>
      <w:tr w14:paraId="1091D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7" w:type="dxa"/>
            <w:vMerge w:val="restart"/>
            <w:noWrap w:val="0"/>
            <w:vAlign w:val="center"/>
          </w:tcPr>
          <w:p w14:paraId="1240A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一、全域拉网排查行动</w:t>
            </w:r>
          </w:p>
        </w:tc>
        <w:tc>
          <w:tcPr>
            <w:tcW w:w="7245" w:type="dxa"/>
            <w:noWrap w:val="0"/>
            <w:vAlign w:val="center"/>
          </w:tcPr>
          <w:p w14:paraId="3BB43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1. 全员分片排查。以村（社区）为单元，实行“村干部包组、网格员包片、群测员包点”网格化排查。每组配1名驻村干部督导、2名村干部、1名网格员，逐山逐坡逐户逐沟拉网，不漏一户、一点、一区。</w:t>
            </w:r>
          </w:p>
        </w:tc>
        <w:tc>
          <w:tcPr>
            <w:tcW w:w="1495" w:type="dxa"/>
            <w:noWrap w:val="0"/>
            <w:vAlign w:val="center"/>
          </w:tcPr>
          <w:p w14:paraId="2EB3B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1E63F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27D04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日</w:t>
            </w:r>
          </w:p>
        </w:tc>
      </w:tr>
      <w:tr w14:paraId="4CF6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1522B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4993F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2. 明确排查标准。重点核查边坡开裂、土体松动、落石、沟渠堵塞、墙体地面变形、坡体渗水、树木歪斜、路面沉降变形，详实记录位置、风险等级、威胁户数人数、隐患成因、整治难度。</w:t>
            </w:r>
          </w:p>
        </w:tc>
        <w:tc>
          <w:tcPr>
            <w:tcW w:w="1495" w:type="dxa"/>
            <w:noWrap w:val="0"/>
            <w:vAlign w:val="center"/>
          </w:tcPr>
          <w:p w14:paraId="03AC9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02B07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6A2D0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日</w:t>
            </w:r>
          </w:p>
        </w:tc>
      </w:tr>
      <w:tr w14:paraId="5D772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171CD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1B9EC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3. 分级建档管控。建立“一隐患一档案、一点一台账”，按一般、较大、重大定为蓝、黄、红三色动态管控，明确责任人、监测人、整改措施、时限、状态，每日更新。</w:t>
            </w:r>
          </w:p>
        </w:tc>
        <w:tc>
          <w:tcPr>
            <w:tcW w:w="1495" w:type="dxa"/>
            <w:noWrap w:val="0"/>
            <w:vAlign w:val="center"/>
          </w:tcPr>
          <w:p w14:paraId="25A66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65922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62A50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日</w:t>
            </w:r>
          </w:p>
        </w:tc>
      </w:tr>
      <w:tr w14:paraId="1FEE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03F2F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48100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4. 新增隐患入库。对排查发现的新增隐患，第一时间拍照存档、现场标注、上报备案。</w:t>
            </w:r>
          </w:p>
        </w:tc>
        <w:tc>
          <w:tcPr>
            <w:tcW w:w="1495" w:type="dxa"/>
            <w:noWrap w:val="0"/>
            <w:vAlign w:val="center"/>
          </w:tcPr>
          <w:p w14:paraId="48B81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56861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FF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1C9A7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日</w:t>
            </w:r>
          </w:p>
        </w:tc>
      </w:tr>
      <w:tr w14:paraId="089A3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7" w:type="dxa"/>
            <w:vMerge w:val="restart"/>
            <w:noWrap w:val="0"/>
            <w:vAlign w:val="center"/>
          </w:tcPr>
          <w:p w14:paraId="4CB84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二、常态化群防巡监测控行动</w:t>
            </w:r>
          </w:p>
        </w:tc>
        <w:tc>
          <w:tcPr>
            <w:tcW w:w="7245" w:type="dxa"/>
            <w:noWrap w:val="0"/>
            <w:vAlign w:val="center"/>
          </w:tcPr>
          <w:p w14:paraId="02E2A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1. 固定点位专人值守。在册隐患点、重大风险点，每点明确1名群测员和1名村干部包保。日常每日巡查1次；雨天、雨后24小时内及暴雨预警期间，每2小时巡查1次，夜间不间断。</w:t>
            </w:r>
          </w:p>
        </w:tc>
        <w:tc>
          <w:tcPr>
            <w:tcW w:w="1495" w:type="dxa"/>
            <w:noWrap w:val="0"/>
            <w:vAlign w:val="center"/>
          </w:tcPr>
          <w:p w14:paraId="3BC52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3865C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24153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30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日</w:t>
            </w:r>
          </w:p>
        </w:tc>
      </w:tr>
      <w:tr w14:paraId="24BA9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0CE53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0BFE5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2. 网格区域常态巡查。网格员对责任片区内非在册风险区域每日全域巡查，重点盯防“四邻一区”（临坡、临崖、临水、临沟及人员聚居区），及时发觉新生隐患。</w:t>
            </w:r>
          </w:p>
        </w:tc>
        <w:tc>
          <w:tcPr>
            <w:tcW w:w="1495" w:type="dxa"/>
            <w:noWrap w:val="0"/>
            <w:vAlign w:val="center"/>
          </w:tcPr>
          <w:p w14:paraId="05E1C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271D8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5F985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30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日</w:t>
            </w:r>
          </w:p>
        </w:tc>
      </w:tr>
      <w:tr w14:paraId="67EAE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63AD8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244FB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3. 规范巡查记录。所有巡查人员必须填写《地质灾害群防群治巡查台账》，记录巡查时间、点位、隐患变化、天气情况、处置措施，做到有据可查、全程溯源，严禁空报、漏报、补报。</w:t>
            </w:r>
          </w:p>
        </w:tc>
        <w:tc>
          <w:tcPr>
            <w:tcW w:w="1495" w:type="dxa"/>
            <w:noWrap w:val="0"/>
            <w:vAlign w:val="center"/>
          </w:tcPr>
          <w:p w14:paraId="34195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6359D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17CEA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30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日</w:t>
            </w:r>
          </w:p>
        </w:tc>
      </w:tr>
      <w:tr w14:paraId="15A5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35341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10AB3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4. 群众联动监测。发动辖区群众、独居老人（老弱病残群体）家属及边坡周边住户，建立邻里互助监测机制，发现落石、裂缝、渗水、异响等异常情况，第一时间上报村网格员，实现全民盯防。</w:t>
            </w:r>
          </w:p>
        </w:tc>
        <w:tc>
          <w:tcPr>
            <w:tcW w:w="1495" w:type="dxa"/>
            <w:noWrap w:val="0"/>
            <w:vAlign w:val="center"/>
          </w:tcPr>
          <w:p w14:paraId="30FF9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1E116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6F850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30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日</w:t>
            </w:r>
          </w:p>
        </w:tc>
      </w:tr>
      <w:tr w14:paraId="112D2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417" w:type="dxa"/>
            <w:vMerge w:val="restart"/>
            <w:noWrap w:val="0"/>
            <w:vAlign w:val="center"/>
          </w:tcPr>
          <w:p w14:paraId="6BC62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三、隐患分类清零整治行动</w:t>
            </w:r>
          </w:p>
          <w:p w14:paraId="1618C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1F88CD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一般隐患（蓝色）：立即整改，当日完成。重点清理边坡浮石、疏通堵塞沟渠、清理沟道杂物、平整松动土体，整改完成当日验收销号。</w:t>
            </w:r>
          </w:p>
        </w:tc>
        <w:tc>
          <w:tcPr>
            <w:tcW w:w="1495" w:type="dxa"/>
            <w:noWrap w:val="0"/>
            <w:vAlign w:val="center"/>
          </w:tcPr>
          <w:p w14:paraId="5D64F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5B339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6096E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月30日</w:t>
            </w:r>
          </w:p>
        </w:tc>
      </w:tr>
      <w:tr w14:paraId="6228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21691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1875C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2. 较大隐患（黄色）：限期整改，7日内完成。设置警示标识、围挡隔离，划定危险区域，禁止人员靠近、停留、居住，落实专人常态化监测，同步制定简易整治方案，完成边坡加固、排水改造、土体压实等整治工作。</w:t>
            </w:r>
          </w:p>
        </w:tc>
        <w:tc>
          <w:tcPr>
            <w:tcW w:w="1495" w:type="dxa"/>
            <w:noWrap w:val="0"/>
            <w:vAlign w:val="center"/>
          </w:tcPr>
          <w:p w14:paraId="6BD02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6A577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07461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月30日</w:t>
            </w:r>
          </w:p>
        </w:tc>
      </w:tr>
      <w:tr w14:paraId="1525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26624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3CE67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3. 重大隐患（红色）：立即管控、立即转移、限期治理。第一时间组织受威胁群众临时撤离，封闭危险区域，设立醒目警示标志，安排24小时专人值守；同步上报上级部门，争取工程治理项目，短期内无法治理的坚决落实长期避险管控、搬迁避让措施。</w:t>
            </w:r>
          </w:p>
        </w:tc>
        <w:tc>
          <w:tcPr>
            <w:tcW w:w="1495" w:type="dxa"/>
            <w:noWrap w:val="0"/>
            <w:vAlign w:val="center"/>
          </w:tcPr>
          <w:p w14:paraId="2CA29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3458C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608B6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月30日</w:t>
            </w:r>
          </w:p>
        </w:tc>
      </w:tr>
      <w:tr w14:paraId="6AB4E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28FE6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2AF85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4. 严控新增隐患。严禁辖区内私自切坡建房、违规挖山取土、乱堆乱弃渣土，乡村两级常态化巡查管控，发现违规行为立即制止、限期整改，从源头杜绝人为诱发地质灾害。</w:t>
            </w:r>
          </w:p>
        </w:tc>
        <w:tc>
          <w:tcPr>
            <w:tcW w:w="1495" w:type="dxa"/>
            <w:noWrap w:val="0"/>
            <w:vAlign w:val="center"/>
          </w:tcPr>
          <w:p w14:paraId="7C633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noWrap w:val="0"/>
            <w:vAlign w:val="center"/>
          </w:tcPr>
          <w:p w14:paraId="17D3C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各村（居）干部、群测群防员</w:t>
            </w:r>
          </w:p>
        </w:tc>
        <w:tc>
          <w:tcPr>
            <w:tcW w:w="1417" w:type="dxa"/>
            <w:noWrap w:val="0"/>
            <w:vAlign w:val="center"/>
          </w:tcPr>
          <w:p w14:paraId="2A065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月30日</w:t>
            </w:r>
          </w:p>
        </w:tc>
      </w:tr>
      <w:tr w14:paraId="0DB5A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7" w:type="dxa"/>
            <w:vMerge w:val="restart"/>
            <w:noWrap w:val="0"/>
            <w:vAlign w:val="center"/>
          </w:tcPr>
          <w:p w14:paraId="19D28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060991BC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both"/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四、预警响应闭环联动行动</w:t>
            </w:r>
          </w:p>
        </w:tc>
        <w:tc>
          <w:tcPr>
            <w:tcW w:w="7245" w:type="dxa"/>
            <w:noWrap w:val="0"/>
            <w:vAlign w:val="center"/>
          </w:tcPr>
          <w:p w14:paraId="2D369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1. 预警快速传达。建立“乡—村—组—群防员—农户”五级预警推送机制，接到气象、地质灾害预警信息后，10分钟内传达至所有责任人、监测员、受威胁群众，做到全覆盖、无遗漏。</w:t>
            </w:r>
          </w:p>
        </w:tc>
        <w:tc>
          <w:tcPr>
            <w:tcW w:w="1495" w:type="dxa"/>
            <w:shd w:val="clear" w:color="auto" w:fill="auto"/>
            <w:noWrap w:val="0"/>
            <w:vAlign w:val="center"/>
          </w:tcPr>
          <w:p w14:paraId="48D56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shd w:val="clear" w:color="auto" w:fill="auto"/>
            <w:noWrap w:val="0"/>
            <w:vAlign w:val="center"/>
          </w:tcPr>
          <w:p w14:paraId="5C308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指挥室、平安法治办、各村（居）干部、群测群防员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34C04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月30日</w:t>
            </w:r>
          </w:p>
        </w:tc>
      </w:tr>
      <w:tr w14:paraId="6E08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29BC0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70EB7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2. 刚性避让执行。严格落实“三避让”（暴雨预警主动避让、险情前兆提前避让、夜间降雨强制避让）、“三个紧急撤离”（发现裂缝渗水落石立即撤离、降雨超阈值立即撤离、预警红色立即撤离）硬性要求，绝不心存侥幸。</w:t>
            </w:r>
          </w:p>
        </w:tc>
        <w:tc>
          <w:tcPr>
            <w:tcW w:w="1495" w:type="dxa"/>
            <w:shd w:val="clear" w:color="auto" w:fill="auto"/>
            <w:noWrap w:val="0"/>
            <w:vAlign w:val="center"/>
          </w:tcPr>
          <w:p w14:paraId="60586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shd w:val="clear" w:color="auto" w:fill="auto"/>
            <w:noWrap w:val="0"/>
            <w:vAlign w:val="center"/>
          </w:tcPr>
          <w:p w14:paraId="56047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指挥室、平安法治办、各村（居）干部、群测群防员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4E138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月30日</w:t>
            </w:r>
          </w:p>
        </w:tc>
      </w:tr>
      <w:tr w14:paraId="63257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7CC06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6866A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3. 险情闭环处置。巡查发现险情或接到群众上报后，乡村工作人员30分钟内到达现场核查，第一时间划定危险区、组织人员转移、设置警戒、上报情况，全程跟踪处置，直至险情解除、隐患销号，形成闭环管理。</w:t>
            </w:r>
          </w:p>
        </w:tc>
        <w:tc>
          <w:tcPr>
            <w:tcW w:w="1495" w:type="dxa"/>
            <w:shd w:val="clear" w:color="auto" w:fill="auto"/>
            <w:noWrap w:val="0"/>
            <w:vAlign w:val="center"/>
          </w:tcPr>
          <w:p w14:paraId="3CCED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shd w:val="clear" w:color="auto" w:fill="auto"/>
            <w:noWrap w:val="0"/>
            <w:vAlign w:val="center"/>
          </w:tcPr>
          <w:p w14:paraId="77F19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指挥室、平安法治办、各村（居）干部、群测群防员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657EF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月30日</w:t>
            </w:r>
          </w:p>
        </w:tc>
      </w:tr>
      <w:tr w14:paraId="2A84D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1417" w:type="dxa"/>
            <w:vMerge w:val="restart"/>
            <w:noWrap w:val="0"/>
            <w:vAlign w:val="center"/>
          </w:tcPr>
          <w:p w14:paraId="38284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五、全民群防宣传劝导行动</w:t>
            </w:r>
          </w:p>
        </w:tc>
        <w:tc>
          <w:tcPr>
            <w:tcW w:w="7245" w:type="dxa"/>
            <w:noWrap w:val="0"/>
            <w:vAlign w:val="center"/>
          </w:tcPr>
          <w:p w14:paraId="403FD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1. 常态化入户宣传。各村网格员、村干部每周开展入户宣讲，重点面向边坡住户、老旧房屋住户、独居老人（老弱病残群体）、偏远农户，讲解地质灾害前兆特征、避险路线、转移地点、自救方法，做到户户知晓、人人掌握。</w:t>
            </w:r>
          </w:p>
        </w:tc>
        <w:tc>
          <w:tcPr>
            <w:tcW w:w="1495" w:type="dxa"/>
            <w:shd w:val="clear" w:color="auto" w:fill="auto"/>
            <w:noWrap w:val="0"/>
            <w:vAlign w:val="center"/>
          </w:tcPr>
          <w:p w14:paraId="56542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各村（居）支书、经济发展办、平安办</w:t>
            </w:r>
          </w:p>
        </w:tc>
        <w:tc>
          <w:tcPr>
            <w:tcW w:w="1987" w:type="dxa"/>
            <w:shd w:val="clear" w:color="auto" w:fill="auto"/>
            <w:noWrap w:val="0"/>
            <w:vAlign w:val="center"/>
          </w:tcPr>
          <w:p w14:paraId="65964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驻村工作队、各村（居）干部、群测群防员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5FB96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月30日</w:t>
            </w:r>
          </w:p>
        </w:tc>
      </w:tr>
      <w:tr w14:paraId="77F9B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5313E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60BC1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2. 多渠道广泛宣传。利用村村响广播每日早中晚定时播报防灾知识，微信、愉快政推送预警信息和防控常识，村组路口张贴宣传海报、悬挂横幅，发放宣传手册，全方位营造群防群治氛围。</w:t>
            </w:r>
          </w:p>
        </w:tc>
        <w:tc>
          <w:tcPr>
            <w:tcW w:w="1495" w:type="dxa"/>
            <w:shd w:val="clear" w:color="auto" w:fill="auto"/>
            <w:noWrap w:val="0"/>
            <w:vAlign w:val="center"/>
          </w:tcPr>
          <w:p w14:paraId="7BF33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各村（居）支书、经济发展办、平安办</w:t>
            </w:r>
          </w:p>
        </w:tc>
        <w:tc>
          <w:tcPr>
            <w:tcW w:w="1987" w:type="dxa"/>
            <w:shd w:val="clear" w:color="auto" w:fill="auto"/>
            <w:noWrap w:val="0"/>
            <w:vAlign w:val="center"/>
          </w:tcPr>
          <w:p w14:paraId="2F7D6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驻村工作队、各村（居）干部、群测群防员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6C19D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月30日</w:t>
            </w:r>
          </w:p>
        </w:tc>
      </w:tr>
      <w:tr w14:paraId="3CA7F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1BC3D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4DF9E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3. 开展实战化演练。攻坚期间，每个村至少开展1次地质灾害避险转移应急演练，重点演练预警通知、人员集结、快速转移、安置值守、物资取用等流程，提升干群应急处置实战能力。</w:t>
            </w:r>
          </w:p>
        </w:tc>
        <w:tc>
          <w:tcPr>
            <w:tcW w:w="1495" w:type="dxa"/>
            <w:shd w:val="clear" w:color="auto" w:fill="auto"/>
            <w:noWrap w:val="0"/>
            <w:vAlign w:val="center"/>
          </w:tcPr>
          <w:p w14:paraId="5B295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经济发展办</w:t>
            </w:r>
          </w:p>
        </w:tc>
        <w:tc>
          <w:tcPr>
            <w:tcW w:w="1987" w:type="dxa"/>
            <w:shd w:val="clear" w:color="auto" w:fill="auto"/>
            <w:noWrap w:val="0"/>
            <w:vAlign w:val="center"/>
          </w:tcPr>
          <w:p w14:paraId="5ADD2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驻村工作队、各村（居）干部、群测群防员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3923C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月30日</w:t>
            </w:r>
          </w:p>
        </w:tc>
      </w:tr>
      <w:tr w14:paraId="07AA3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7" w:type="dxa"/>
            <w:vMerge w:val="continue"/>
            <w:noWrap w:val="0"/>
            <w:vAlign w:val="center"/>
          </w:tcPr>
          <w:p w14:paraId="6A18C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45" w:type="dxa"/>
            <w:noWrap w:val="0"/>
            <w:vAlign w:val="center"/>
          </w:tcPr>
          <w:p w14:paraId="637D8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left"/>
              <w:textAlignment w:val="baseline"/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4. 建立劝导机制。组建村级防灾劝导队，对违规切坡建房、边坡逗留、雨天进山、危险区域作业等行为及时劝导制止，引导群众主动规避地质灾害风险</w:t>
            </w:r>
          </w:p>
        </w:tc>
        <w:tc>
          <w:tcPr>
            <w:tcW w:w="1495" w:type="dxa"/>
            <w:shd w:val="clear" w:color="auto" w:fill="auto"/>
            <w:noWrap w:val="0"/>
            <w:vAlign w:val="center"/>
          </w:tcPr>
          <w:p w14:paraId="0CB6B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各村（居）支书、经济发展办</w:t>
            </w:r>
          </w:p>
        </w:tc>
        <w:tc>
          <w:tcPr>
            <w:tcW w:w="1987" w:type="dxa"/>
            <w:shd w:val="clear" w:color="auto" w:fill="auto"/>
            <w:noWrap w:val="0"/>
            <w:vAlign w:val="center"/>
          </w:tcPr>
          <w:p w14:paraId="4C30B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驻村工作队、各村（居）干部、群测群防员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712C5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月30日</w:t>
            </w:r>
          </w:p>
        </w:tc>
      </w:tr>
    </w:tbl>
    <w:p w14:paraId="1CF68087">
      <w:pPr>
        <w:keepLines w:val="0"/>
        <w:pageBreakBefore w:val="0"/>
        <w:widowControl/>
        <w:kinsoku/>
        <w:wordWrap/>
        <w:overflowPunct/>
        <w:autoSpaceDE/>
        <w:autoSpaceDN/>
        <w:bidi w:val="0"/>
        <w:adjustRightInd/>
        <w:snapToGrid/>
        <w:spacing w:line="594" w:lineRule="exact"/>
        <w:jc w:val="left"/>
        <w:rPr>
          <w:rFonts w:hint="default" w:ascii="Times New Roman" w:hAnsi="Times New Roman" w:eastAsia="方正仿宋_GBK" w:cs="Times New Roman"/>
          <w:kern w:val="0"/>
          <w:szCs w:val="32"/>
        </w:rPr>
        <w:sectPr>
          <w:pgSz w:w="16838" w:h="11906" w:orient="landscape"/>
          <w:pgMar w:top="1588" w:right="2098" w:bottom="1474" w:left="1985" w:header="720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579" w:charSpace="0"/>
        </w:sectPr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2"/>
        <w:gridCol w:w="7096"/>
      </w:tblGrid>
      <w:tr w14:paraId="66066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15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  <w:lang w:eastAsia="zh-CN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附件2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C4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</w:tbl>
    <w:p w14:paraId="21FBA3F2">
      <w:pPr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594" w:lineRule="exact"/>
        <w:jc w:val="center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52"/>
          <w:szCs w:val="52"/>
          <w:u w:val="none"/>
          <w:lang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52"/>
          <w:szCs w:val="52"/>
          <w:u w:val="none"/>
          <w:lang w:eastAsia="zh-CN"/>
        </w:rPr>
        <w:t>地质灾害群防群治巡查及问题整改“三色”台账</w:t>
      </w: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213"/>
        <w:gridCol w:w="1296"/>
        <w:gridCol w:w="1419"/>
        <w:gridCol w:w="1909"/>
        <w:gridCol w:w="1964"/>
        <w:gridCol w:w="1472"/>
        <w:gridCol w:w="1705"/>
        <w:gridCol w:w="1118"/>
        <w:gridCol w:w="837"/>
      </w:tblGrid>
      <w:tr w14:paraId="47B51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B8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2C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隐患类别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CC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三色分类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78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排查时间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5A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具体问题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1A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整改措施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98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整改时限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E1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处置结果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DF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责任人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B8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firstLine="0" w:firstLineChars="0"/>
              <w:jc w:val="center"/>
              <w:textAlignment w:val="baseline"/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 w14:paraId="215E9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C8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例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85C6F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Xx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49CDD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6F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2026.XX.XX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AE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  <w:lang w:eastAsia="zh-CN"/>
              </w:rPr>
              <w:t>山体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XX,存在XX风险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4A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  <w:lang w:eastAsia="zh-CN"/>
              </w:rPr>
              <w:t>撤离群众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65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2026.XX.XX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3E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疏通沟渠、清理浮石、紧急撤离....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48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3BBBD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2AEB4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36A49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55510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63697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3C509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D23EB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12903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900C6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F8B20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15B06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0C13F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4BC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D2AC6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5E7B5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C8E44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C820A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00EB6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A7044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DC452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CBBC4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50257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B570C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118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8D4AC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DBD70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7986C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02606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A47FE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B5181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60865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B15D3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28B37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3F44D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1BE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8822C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9BFBB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67621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54DD0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591F8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7ABB5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D865E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01347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6D225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C3B22"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0F38A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leftChars="0" w:firstLine="0" w:firstLineChars="0"/>
        <w:jc w:val="both"/>
        <w:textAlignment w:val="baseline"/>
        <w:rPr>
          <w:rStyle w:val="14"/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vertAlign w:val="baseline"/>
          <w:lang w:val="en-US" w:eastAsia="zh-CN" w:bidi="ar-SA"/>
        </w:rPr>
        <w:sectPr>
          <w:footerReference r:id="rId4" w:type="default"/>
          <w:pgSz w:w="16840" w:h="11905" w:orient="landscape"/>
          <w:pgMar w:top="1474" w:right="1984" w:bottom="1474" w:left="1644" w:header="72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1A14693B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2133515E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58278F55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1BA39AC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9D4366E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7CA7E29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2C7EE7ED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15101142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B359E88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27E1785D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2EB18AF9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27F6300A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37015CCF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F29A72B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7BFFD675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1F70E7AE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252A64D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17A410F9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45A18D4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5E9E5B47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7060CD0B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10F6DCDC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70B98A4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3EBD8768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F53A9B5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5F352EF7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1767031C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385B69A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72F0E884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1F1EB832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7E0B6FB9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9A91BD7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C8ADBA7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329204FE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3BC3E6F6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67845C8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58C24DAC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4FEA418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2E65503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2F17FD86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F871E8D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EE1F42D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0EB5432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FC17867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6BE46DCE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70242BA3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2F0FC5E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50AE13C9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0791F5DA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3212AF7">
      <w:pPr>
        <w:keepNext w:val="0"/>
        <w:keepLines w:val="0"/>
        <w:pageBreakBefore w:val="0"/>
        <w:widowControl w:val="0"/>
        <w:pBdr>
          <w:top w:val="single" w:color="auto" w:sz="4" w:space="1"/>
          <w:bottom w:val="single" w:color="auto" w:sz="8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培石乡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基层治理综合指挥室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         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       </w:t>
      </w:r>
      <w:bookmarkStart w:id="11" w:name="_GoBack"/>
      <w:bookmarkEnd w:id="11"/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日印发</w:t>
      </w:r>
    </w:p>
    <w:sectPr>
      <w:pgSz w:w="11905" w:h="16840"/>
      <w:pgMar w:top="2098" w:right="1474" w:bottom="1984" w:left="1587" w:header="720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AA2A7">
    <w:pPr>
      <w:pStyle w:val="6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9C8826">
                          <w:pPr>
                            <w:pStyle w:val="6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9C8826">
                    <w:pPr>
                      <w:pStyle w:val="6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048A416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B06D7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23B282">
                          <w:pPr>
                            <w:pStyle w:val="6"/>
                            <w:rPr>
                              <w:rStyle w:val="13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3"/>
                              <w:rFonts w:hint="eastAsia" w:ascii="宋体" w:hAnsi="宋体"/>
                              <w:color w:val="FFFFFF"/>
                              <w:sz w:val="28"/>
                              <w:szCs w:val="28"/>
                            </w:rPr>
                            <w:t>×</w:t>
                          </w:r>
                          <w:r>
                            <w:rPr>
                              <w:rStyle w:val="13"/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13"/>
                              <w:rFonts w:hint="eastAsia" w:ascii="宋体" w:hAnsi="宋体"/>
                              <w:color w:val="FFFFFF"/>
                              <w:sz w:val="28"/>
                              <w:szCs w:val="28"/>
                            </w:rPr>
                            <w:t>×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23B282">
                    <w:pPr>
                      <w:pStyle w:val="6"/>
                      <w:rPr>
                        <w:rStyle w:val="13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3"/>
                        <w:rFonts w:hint="eastAsia" w:ascii="宋体" w:hAnsi="宋体"/>
                        <w:color w:val="FFFFFF"/>
                        <w:sz w:val="28"/>
                        <w:szCs w:val="28"/>
                      </w:rPr>
                      <w:t>×</w:t>
                    </w:r>
                    <w:r>
                      <w:rPr>
                        <w:rStyle w:val="13"/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13"/>
                        <w:rFonts w:hint="eastAsia" w:ascii="宋体" w:hAnsi="宋体"/>
                        <w:color w:val="FFFFFF"/>
                        <w:sz w:val="28"/>
                        <w:szCs w:val="28"/>
                      </w:rPr>
                      <w:t>×</w:t>
                    </w:r>
                  </w:p>
                </w:txbxContent>
              </v:textbox>
            </v:shape>
          </w:pict>
        </mc:Fallback>
      </mc:AlternateContent>
    </w:r>
  </w:p>
  <w:p w14:paraId="0D9A1737">
    <w:pPr>
      <w:pStyle w:val="6"/>
    </w:pPr>
  </w:p>
  <w:p w14:paraId="363E6226">
    <w:pPr>
      <w:pStyle w:val="6"/>
    </w:pPr>
  </w:p>
  <w:p w14:paraId="6398491E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14CFD2"/>
    <w:multiLevelType w:val="singleLevel"/>
    <w:tmpl w:val="FA14CFD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rawingGridHorizontalSpacing w:val="158"/>
  <w:drawingGridVerticalSpacing w:val="290"/>
  <w:displayHorizontalDrawingGridEvery w:val="2"/>
  <w:displayVerticalDrawingGridEvery w:val="2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46BB1"/>
    <w:rsid w:val="0BE107DE"/>
    <w:rsid w:val="0EBDAAFC"/>
    <w:rsid w:val="1E397B45"/>
    <w:rsid w:val="24850B3E"/>
    <w:rsid w:val="3B914CE5"/>
    <w:rsid w:val="3F021F8C"/>
    <w:rsid w:val="3F7F04CC"/>
    <w:rsid w:val="3F9F0C07"/>
    <w:rsid w:val="40D532E8"/>
    <w:rsid w:val="41A946A1"/>
    <w:rsid w:val="41B77D97"/>
    <w:rsid w:val="4554041B"/>
    <w:rsid w:val="4EEF6C75"/>
    <w:rsid w:val="4F195FF9"/>
    <w:rsid w:val="61E22A20"/>
    <w:rsid w:val="699F5527"/>
    <w:rsid w:val="6CED30F7"/>
    <w:rsid w:val="6EF6F38E"/>
    <w:rsid w:val="70586B66"/>
    <w:rsid w:val="779F6C23"/>
    <w:rsid w:val="77FF2F4A"/>
    <w:rsid w:val="7AFD2AE3"/>
    <w:rsid w:val="7B371983"/>
    <w:rsid w:val="7F5E6DEC"/>
    <w:rsid w:val="7FDFE73A"/>
    <w:rsid w:val="96EFDA1F"/>
    <w:rsid w:val="B3FF2766"/>
    <w:rsid w:val="DFF7AC9D"/>
    <w:rsid w:val="EEFB56FF"/>
    <w:rsid w:val="FBFAFE09"/>
    <w:rsid w:val="FFFFB5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??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styleId="6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索引 51"/>
    <w:basedOn w:val="1"/>
    <w:next w:val="1"/>
    <w:qFormat/>
    <w:uiPriority w:val="0"/>
    <w:pPr>
      <w:ind w:left="1680"/>
    </w:p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5301</Words>
  <Characters>5442</Characters>
  <TotalTime>4</TotalTime>
  <ScaleCrop>false</ScaleCrop>
  <LinksUpToDate>false</LinksUpToDate>
  <CharactersWithSpaces>5617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2026-08-06T11:50:00Z</dcterms:created>
  <dc:creator>Apache POI</dc:creator>
  <cp:lastModifiedBy>且'听风吟``'</cp:lastModifiedBy>
  <cp:lastPrinted>2026-08-12T10:45:00Z</cp:lastPrinted>
  <dcterms:modified xsi:type="dcterms:W3CDTF">2026-08-31T08:44:19Z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{"Label":"1","ContentProducer":"001191110102MACQD9K64010000","ProduceID":"7669276732648508685","ReservedCode1":"","ContentPropagator":"","PropagateID":"","ReservedCode2":""}</vt:lpwstr>
  </property>
  <property fmtid="{D5CDD505-2E9C-101B-9397-08002B2CF9AE}" pid="3" name="KSOTemplateDocerSaveRecord">
    <vt:lpwstr>eyJoZGlkIjoiNDUzNDgwOTRhYmZhZDFkNmMwZjcwZTk0ZjY3M2ZlOWMiLCJ1c2VySWQiOiIzMDAwMjU2NDcifQ==</vt:lpwstr>
  </property>
  <property fmtid="{D5CDD505-2E9C-101B-9397-08002B2CF9AE}" pid="4" name="KSOProductBuildVer">
    <vt:lpwstr>2052-12.1.0.20305</vt:lpwstr>
  </property>
  <property fmtid="{D5CDD505-2E9C-101B-9397-08002B2CF9AE}" pid="5" name="ICV">
    <vt:lpwstr>E30C8D2D789020164AD17B6AEEA9590C_43</vt:lpwstr>
  </property>
</Properties>
</file>