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00" w:lineRule="exact"/>
        <w:ind w:firstLine="640" w:firstLineChars="200"/>
        <w:rPr>
          <w:rFonts w:hint="eastAsia" w:ascii="方正仿宋_GBK" w:cs="方正小标宋_GBK"/>
          <w:color w:val="000000"/>
        </w:rPr>
      </w:pPr>
    </w:p>
    <w:p>
      <w:pPr>
        <w:overflowPunct w:val="0"/>
        <w:snapToGrid w:val="0"/>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巫山县</w:t>
      </w:r>
      <w:r>
        <w:rPr>
          <w:rFonts w:hint="eastAsia" w:ascii="方正小标宋_GBK" w:eastAsia="方正小标宋_GBK"/>
          <w:color w:val="000000"/>
          <w:sz w:val="44"/>
          <w:szCs w:val="44"/>
          <w:lang w:eastAsia="zh-CN"/>
        </w:rPr>
        <w:t>龙溪镇</w:t>
      </w:r>
      <w:bookmarkStart w:id="0" w:name="_GoBack"/>
      <w:bookmarkEnd w:id="0"/>
      <w:r>
        <w:rPr>
          <w:rFonts w:hint="eastAsia" w:ascii="方正小标宋_GBK" w:eastAsia="方正小标宋_GBK"/>
          <w:color w:val="000000"/>
          <w:sz w:val="44"/>
          <w:szCs w:val="44"/>
        </w:rPr>
        <w:t>农村危房改造领域基层政务公开标准目录</w:t>
      </w:r>
    </w:p>
    <w:p>
      <w:pPr>
        <w:overflowPunct w:val="0"/>
        <w:spacing w:line="300" w:lineRule="exact"/>
        <w:ind w:firstLine="640" w:firstLineChars="200"/>
        <w:rPr>
          <w:rFonts w:hint="eastAsia" w:ascii="方正仿宋_GBK" w:cs="方正小标宋_GBK"/>
          <w:color w:val="000000"/>
        </w:rPr>
      </w:pPr>
    </w:p>
    <w:tbl>
      <w:tblPr>
        <w:tblStyle w:val="2"/>
        <w:tblW w:w="13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7"/>
        <w:gridCol w:w="588"/>
        <w:gridCol w:w="588"/>
        <w:gridCol w:w="1301"/>
        <w:gridCol w:w="2547"/>
        <w:gridCol w:w="1121"/>
        <w:gridCol w:w="1008"/>
        <w:gridCol w:w="2926"/>
        <w:gridCol w:w="392"/>
        <w:gridCol w:w="419"/>
        <w:gridCol w:w="364"/>
        <w:gridCol w:w="364"/>
        <w:gridCol w:w="392"/>
        <w:gridCol w:w="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blHeader/>
        </w:trPr>
        <w:tc>
          <w:tcPr>
            <w:tcW w:w="441"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序号</w:t>
            </w:r>
          </w:p>
        </w:tc>
        <w:tc>
          <w:tcPr>
            <w:tcW w:w="437"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过程</w:t>
            </w:r>
          </w:p>
        </w:tc>
        <w:tc>
          <w:tcPr>
            <w:tcW w:w="1176" w:type="dxa"/>
            <w:gridSpan w:val="2"/>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公开事项</w:t>
            </w:r>
          </w:p>
        </w:tc>
        <w:tc>
          <w:tcPr>
            <w:tcW w:w="1301"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公开内容</w:t>
            </w:r>
          </w:p>
        </w:tc>
        <w:tc>
          <w:tcPr>
            <w:tcW w:w="2547"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公开依据</w:t>
            </w:r>
          </w:p>
        </w:tc>
        <w:tc>
          <w:tcPr>
            <w:tcW w:w="1121"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公开时限</w:t>
            </w:r>
          </w:p>
        </w:tc>
        <w:tc>
          <w:tcPr>
            <w:tcW w:w="1008"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公开主体</w:t>
            </w:r>
          </w:p>
        </w:tc>
        <w:tc>
          <w:tcPr>
            <w:tcW w:w="2926" w:type="dxa"/>
            <w:vMerge w:val="restart"/>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公开渠道和载体</w:t>
            </w:r>
            <w:r>
              <w:rPr>
                <w:rFonts w:hint="eastAsia" w:ascii="方正黑体_GBK" w:eastAsia="方正黑体_GBK"/>
                <w:bCs/>
                <w:color w:val="000000"/>
                <w:sz w:val="18"/>
                <w:szCs w:val="18"/>
              </w:rPr>
              <w:br w:type="textWrapping"/>
            </w:r>
            <w:r>
              <w:rPr>
                <w:rFonts w:hint="eastAsia" w:ascii="方正黑体_GBK" w:hAnsi="宋体" w:eastAsia="方正黑体_GBK"/>
                <w:bCs/>
                <w:color w:val="000000"/>
                <w:sz w:val="18"/>
                <w:szCs w:val="18"/>
              </w:rPr>
              <w:t>（“■”表示必选项，“□”表示可选项）</w:t>
            </w:r>
          </w:p>
        </w:tc>
        <w:tc>
          <w:tcPr>
            <w:tcW w:w="811" w:type="dxa"/>
            <w:gridSpan w:val="2"/>
            <w:noWrap w:val="0"/>
            <w:vAlign w:val="center"/>
          </w:tcPr>
          <w:p>
            <w:pPr>
              <w:overflowPunct w:val="0"/>
              <w:spacing w:line="220" w:lineRule="exact"/>
              <w:jc w:val="center"/>
              <w:rPr>
                <w:rFonts w:hint="eastAsia" w:ascii="方正黑体_GBK" w:hAnsi="宋体" w:eastAsia="方正黑体_GBK"/>
                <w:bCs/>
                <w:color w:val="000000"/>
                <w:sz w:val="18"/>
                <w:szCs w:val="18"/>
              </w:rPr>
            </w:pPr>
            <w:r>
              <w:rPr>
                <w:rFonts w:hint="eastAsia" w:ascii="方正黑体_GBK" w:hAnsi="宋体" w:eastAsia="方正黑体_GBK"/>
                <w:bCs/>
                <w:color w:val="000000"/>
                <w:sz w:val="18"/>
                <w:szCs w:val="18"/>
              </w:rPr>
              <w:t>公开</w:t>
            </w:r>
          </w:p>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对象</w:t>
            </w:r>
          </w:p>
        </w:tc>
        <w:tc>
          <w:tcPr>
            <w:tcW w:w="728" w:type="dxa"/>
            <w:gridSpan w:val="2"/>
            <w:noWrap w:val="0"/>
            <w:vAlign w:val="center"/>
          </w:tcPr>
          <w:p>
            <w:pPr>
              <w:overflowPunct w:val="0"/>
              <w:spacing w:line="220" w:lineRule="exact"/>
              <w:jc w:val="center"/>
              <w:rPr>
                <w:rFonts w:hint="eastAsia" w:ascii="方正黑体_GBK" w:hAnsi="宋体" w:eastAsia="方正黑体_GBK"/>
                <w:bCs/>
                <w:color w:val="000000"/>
                <w:sz w:val="18"/>
                <w:szCs w:val="18"/>
              </w:rPr>
            </w:pPr>
            <w:r>
              <w:rPr>
                <w:rFonts w:hint="eastAsia" w:ascii="方正黑体_GBK" w:hAnsi="宋体" w:eastAsia="方正黑体_GBK"/>
                <w:bCs/>
                <w:color w:val="000000"/>
                <w:sz w:val="18"/>
                <w:szCs w:val="18"/>
              </w:rPr>
              <w:t>公开</w:t>
            </w:r>
          </w:p>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方式</w:t>
            </w:r>
          </w:p>
        </w:tc>
        <w:tc>
          <w:tcPr>
            <w:tcW w:w="756" w:type="dxa"/>
            <w:gridSpan w:val="2"/>
            <w:noWrap w:val="0"/>
            <w:vAlign w:val="center"/>
          </w:tcPr>
          <w:p>
            <w:pPr>
              <w:overflowPunct w:val="0"/>
              <w:spacing w:line="220" w:lineRule="exact"/>
              <w:jc w:val="center"/>
              <w:rPr>
                <w:rFonts w:hint="eastAsia" w:ascii="方正黑体_GBK" w:hAnsi="宋体" w:eastAsia="方正黑体_GBK"/>
                <w:bCs/>
                <w:color w:val="000000"/>
                <w:sz w:val="18"/>
                <w:szCs w:val="18"/>
              </w:rPr>
            </w:pPr>
            <w:r>
              <w:rPr>
                <w:rFonts w:hint="eastAsia" w:ascii="方正黑体_GBK" w:hAnsi="宋体" w:eastAsia="方正黑体_GBK"/>
                <w:bCs/>
                <w:color w:val="000000"/>
                <w:sz w:val="18"/>
                <w:szCs w:val="18"/>
              </w:rPr>
              <w:t>公开</w:t>
            </w:r>
          </w:p>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blHeader/>
        </w:trPr>
        <w:tc>
          <w:tcPr>
            <w:tcW w:w="441"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437"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588"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一级事项</w:t>
            </w:r>
          </w:p>
        </w:tc>
        <w:tc>
          <w:tcPr>
            <w:tcW w:w="588"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二级事项</w:t>
            </w:r>
          </w:p>
        </w:tc>
        <w:tc>
          <w:tcPr>
            <w:tcW w:w="1301"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2547"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1121"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1008"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2926" w:type="dxa"/>
            <w:vMerge w:val="continue"/>
            <w:noWrap w:val="0"/>
            <w:vAlign w:val="center"/>
          </w:tcPr>
          <w:p>
            <w:pPr>
              <w:overflowPunct w:val="0"/>
              <w:spacing w:line="220" w:lineRule="exact"/>
              <w:jc w:val="center"/>
              <w:rPr>
                <w:rFonts w:hint="eastAsia" w:ascii="方正黑体_GBK" w:eastAsia="方正黑体_GBK"/>
                <w:bCs/>
                <w:color w:val="000000"/>
                <w:sz w:val="18"/>
                <w:szCs w:val="18"/>
              </w:rPr>
            </w:pPr>
          </w:p>
        </w:tc>
        <w:tc>
          <w:tcPr>
            <w:tcW w:w="392"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全社会</w:t>
            </w:r>
          </w:p>
        </w:tc>
        <w:tc>
          <w:tcPr>
            <w:tcW w:w="419"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特定群体</w:t>
            </w:r>
          </w:p>
        </w:tc>
        <w:tc>
          <w:tcPr>
            <w:tcW w:w="364"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主动</w:t>
            </w:r>
          </w:p>
        </w:tc>
        <w:tc>
          <w:tcPr>
            <w:tcW w:w="364"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依申请</w:t>
            </w:r>
          </w:p>
        </w:tc>
        <w:tc>
          <w:tcPr>
            <w:tcW w:w="392"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县级</w:t>
            </w:r>
          </w:p>
        </w:tc>
        <w:tc>
          <w:tcPr>
            <w:tcW w:w="364" w:type="dxa"/>
            <w:noWrap w:val="0"/>
            <w:vAlign w:val="center"/>
          </w:tcPr>
          <w:p>
            <w:pPr>
              <w:overflowPunct w:val="0"/>
              <w:spacing w:line="220" w:lineRule="exact"/>
              <w:jc w:val="center"/>
              <w:rPr>
                <w:rFonts w:hint="eastAsia" w:ascii="方正黑体_GBK" w:eastAsia="方正黑体_GBK"/>
                <w:bCs/>
                <w:color w:val="000000"/>
                <w:sz w:val="18"/>
                <w:szCs w:val="18"/>
              </w:rPr>
            </w:pPr>
            <w:r>
              <w:rPr>
                <w:rFonts w:hint="eastAsia" w:ascii="方正黑体_GBK" w:hAnsi="宋体" w:eastAsia="方正黑体_GBK"/>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trPr>
        <w:tc>
          <w:tcPr>
            <w:tcW w:w="441" w:type="dxa"/>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w:t>
            </w:r>
          </w:p>
        </w:tc>
        <w:tc>
          <w:tcPr>
            <w:tcW w:w="437" w:type="dxa"/>
            <w:vMerge w:val="restart"/>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决策</w:t>
            </w: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部门</w:t>
            </w:r>
            <w:r>
              <w:rPr>
                <w:rFonts w:hint="eastAsia" w:ascii="方正仿宋_GBK"/>
                <w:color w:val="000000"/>
                <w:sz w:val="18"/>
                <w:szCs w:val="18"/>
              </w:rPr>
              <w:br w:type="textWrapping"/>
            </w:r>
            <w:r>
              <w:rPr>
                <w:rFonts w:hint="eastAsia" w:ascii="方正仿宋_GBK"/>
                <w:color w:val="000000"/>
                <w:sz w:val="18"/>
                <w:szCs w:val="18"/>
              </w:rPr>
              <w:t>文件</w:t>
            </w: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农村危房改造相关文件</w:t>
            </w:r>
          </w:p>
        </w:tc>
        <w:tc>
          <w:tcPr>
            <w:tcW w:w="130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文件标题、文号、有效性、关键词、具体内容、生成日期等</w:t>
            </w:r>
          </w:p>
        </w:tc>
        <w:tc>
          <w:tcPr>
            <w:tcW w:w="2547"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《中华人民共和国政府信息公开条例》</w:t>
            </w:r>
            <w:r>
              <w:rPr>
                <w:rFonts w:hint="eastAsia" w:ascii="方正仿宋_GBK"/>
                <w:color w:val="000000"/>
                <w:sz w:val="18"/>
                <w:szCs w:val="18"/>
              </w:rPr>
              <w:br w:type="textWrapping"/>
            </w:r>
            <w:r>
              <w:rPr>
                <w:rFonts w:hint="eastAsia" w:ascii="方正仿宋_GBK"/>
                <w:color w:val="000000"/>
                <w:sz w:val="18"/>
                <w:szCs w:val="18"/>
              </w:rPr>
              <w:t>《中共中央办公厅国务院办公厅印发〈关于全面推进政务公开工作的意见〉的通知》</w:t>
            </w:r>
            <w:r>
              <w:rPr>
                <w:rFonts w:hint="eastAsia" w:ascii="方正仿宋_GBK"/>
                <w:color w:val="000000"/>
                <w:sz w:val="18"/>
                <w:szCs w:val="18"/>
              </w:rPr>
              <w:br w:type="textWrapping"/>
            </w:r>
            <w:r>
              <w:rPr>
                <w:rFonts w:hint="eastAsia" w:ascii="方正仿宋_GBK"/>
                <w:color w:val="000000"/>
                <w:sz w:val="18"/>
                <w:szCs w:val="18"/>
              </w:rPr>
              <w:t>《中共中央办公厅 国务院办公厅关于建立健全信息发布和政策解读机制的意见》</w:t>
            </w:r>
            <w:r>
              <w:rPr>
                <w:rFonts w:hint="eastAsia" w:ascii="方正仿宋_GBK"/>
                <w:color w:val="000000"/>
                <w:sz w:val="18"/>
                <w:szCs w:val="18"/>
              </w:rPr>
              <w:br w:type="textWrapping"/>
            </w:r>
            <w:r>
              <w:rPr>
                <w:rFonts w:hint="eastAsia" w:ascii="方正仿宋_GBK"/>
                <w:color w:val="000000"/>
                <w:sz w:val="18"/>
                <w:szCs w:val="18"/>
              </w:rPr>
              <w:t>《国务院办公厅印发〈关于全面推进政务公开工作的意见〉实施细则的通知》</w:t>
            </w:r>
            <w:r>
              <w:rPr>
                <w:rFonts w:hint="eastAsia" w:ascii="方正仿宋_GBK"/>
                <w:color w:val="000000"/>
                <w:sz w:val="18"/>
                <w:szCs w:val="18"/>
              </w:rPr>
              <w:br w:type="textWrapping"/>
            </w:r>
            <w:r>
              <w:rPr>
                <w:rFonts w:hint="eastAsia" w:ascii="方正仿宋_GBK"/>
                <w:color w:val="000000"/>
                <w:sz w:val="18"/>
                <w:szCs w:val="18"/>
              </w:rPr>
              <w:t>《住房城乡建设部办公厅关于印发保障性住房等基层政务公开标准目录的通知》</w:t>
            </w:r>
            <w:r>
              <w:rPr>
                <w:rFonts w:hint="eastAsia" w:ascii="方正仿宋_GBK"/>
                <w:color w:val="000000"/>
                <w:sz w:val="18"/>
                <w:szCs w:val="18"/>
              </w:rPr>
              <w:br w:type="textWrapping"/>
            </w:r>
            <w:r>
              <w:rPr>
                <w:rFonts w:hint="eastAsia" w:ascii="方正仿宋_GBK"/>
                <w:color w:val="000000"/>
                <w:sz w:val="18"/>
                <w:szCs w:val="18"/>
              </w:rPr>
              <w:t>《重庆市住房和城乡建设委员会关于印发重庆市国有土地上房屋征收与补偿、保障性住房、农村危房改造等领域政务公开标准指引的通知》</w:t>
            </w: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trPr>
        <w:tc>
          <w:tcPr>
            <w:tcW w:w="441" w:type="dxa"/>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2</w:t>
            </w:r>
          </w:p>
        </w:tc>
        <w:tc>
          <w:tcPr>
            <w:tcW w:w="437" w:type="dxa"/>
            <w:vMerge w:val="continue"/>
            <w:noWrap w:val="0"/>
            <w:vAlign w:val="center"/>
          </w:tcPr>
          <w:p>
            <w:pPr>
              <w:overflowPunct w:val="0"/>
              <w:spacing w:line="220" w:lineRule="exact"/>
              <w:jc w:val="center"/>
              <w:rPr>
                <w:rFonts w:hint="eastAsia" w:ascii="方正仿宋_GBK"/>
                <w:color w:val="000000"/>
                <w:sz w:val="18"/>
                <w:szCs w:val="18"/>
              </w:rPr>
            </w:pPr>
          </w:p>
        </w:tc>
        <w:tc>
          <w:tcPr>
            <w:tcW w:w="588"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政策</w:t>
            </w:r>
            <w:r>
              <w:rPr>
                <w:rFonts w:hint="eastAsia" w:ascii="方正仿宋_GBK"/>
                <w:color w:val="000000"/>
                <w:sz w:val="18"/>
                <w:szCs w:val="18"/>
              </w:rPr>
              <w:br w:type="textWrapping"/>
            </w:r>
            <w:r>
              <w:rPr>
                <w:rFonts w:hint="eastAsia" w:ascii="方正仿宋_GBK"/>
                <w:color w:val="000000"/>
                <w:sz w:val="18"/>
                <w:szCs w:val="18"/>
              </w:rPr>
              <w:t>解读</w:t>
            </w: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上级政策解读</w:t>
            </w:r>
          </w:p>
        </w:tc>
        <w:tc>
          <w:tcPr>
            <w:tcW w:w="1301"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着重解读政策措施的背景依据、目标任务、主要内容、涉及范围、执行标准，以及注意事项、关键词诠释、惠民利民举措、新旧政策差异等</w:t>
            </w:r>
          </w:p>
        </w:tc>
        <w:tc>
          <w:tcPr>
            <w:tcW w:w="2547" w:type="dxa"/>
            <w:vMerge w:val="continue"/>
            <w:noWrap w:val="0"/>
            <w:vAlign w:val="center"/>
          </w:tcPr>
          <w:p>
            <w:pPr>
              <w:overflowPunct w:val="0"/>
              <w:spacing w:line="220" w:lineRule="exact"/>
              <w:rPr>
                <w:rFonts w:hint="eastAsia" w:ascii="方正仿宋_GBK"/>
                <w:color w:val="000000"/>
                <w:sz w:val="18"/>
                <w:szCs w:val="18"/>
              </w:rPr>
            </w:pP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trPr>
        <w:tc>
          <w:tcPr>
            <w:tcW w:w="441" w:type="dxa"/>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3</w:t>
            </w:r>
          </w:p>
        </w:tc>
        <w:tc>
          <w:tcPr>
            <w:tcW w:w="437" w:type="dxa"/>
            <w:vMerge w:val="continue"/>
            <w:noWrap w:val="0"/>
            <w:vAlign w:val="center"/>
          </w:tcPr>
          <w:p>
            <w:pPr>
              <w:overflowPunct w:val="0"/>
              <w:spacing w:line="220" w:lineRule="exact"/>
              <w:jc w:val="center"/>
              <w:rPr>
                <w:rFonts w:hint="eastAsia" w:ascii="方正仿宋_GBK"/>
                <w:color w:val="000000"/>
                <w:sz w:val="18"/>
                <w:szCs w:val="18"/>
              </w:rPr>
            </w:pPr>
          </w:p>
        </w:tc>
        <w:tc>
          <w:tcPr>
            <w:tcW w:w="588" w:type="dxa"/>
            <w:vMerge w:val="continue"/>
            <w:noWrap w:val="0"/>
            <w:vAlign w:val="center"/>
          </w:tcPr>
          <w:p>
            <w:pPr>
              <w:overflowPunct w:val="0"/>
              <w:spacing w:line="220" w:lineRule="exact"/>
              <w:rPr>
                <w:rFonts w:hint="eastAsia" w:ascii="方正仿宋_GBK"/>
                <w:color w:val="000000"/>
                <w:sz w:val="18"/>
                <w:szCs w:val="18"/>
              </w:rPr>
            </w:pP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本级政策解读</w:t>
            </w:r>
          </w:p>
        </w:tc>
        <w:tc>
          <w:tcPr>
            <w:tcW w:w="1301" w:type="dxa"/>
            <w:vMerge w:val="continue"/>
            <w:noWrap w:val="0"/>
            <w:vAlign w:val="center"/>
          </w:tcPr>
          <w:p>
            <w:pPr>
              <w:overflowPunct w:val="0"/>
              <w:spacing w:line="220" w:lineRule="exact"/>
              <w:rPr>
                <w:rFonts w:hint="eastAsia" w:ascii="方正仿宋_GBK"/>
                <w:color w:val="000000"/>
                <w:sz w:val="18"/>
                <w:szCs w:val="18"/>
              </w:rPr>
            </w:pPr>
          </w:p>
        </w:tc>
        <w:tc>
          <w:tcPr>
            <w:tcW w:w="2547" w:type="dxa"/>
            <w:vMerge w:val="continue"/>
            <w:noWrap w:val="0"/>
            <w:vAlign w:val="center"/>
          </w:tcPr>
          <w:p>
            <w:pPr>
              <w:overflowPunct w:val="0"/>
              <w:spacing w:line="220" w:lineRule="exact"/>
              <w:rPr>
                <w:rFonts w:hint="eastAsia" w:ascii="方正仿宋_GBK"/>
                <w:color w:val="000000"/>
                <w:sz w:val="18"/>
                <w:szCs w:val="18"/>
              </w:rPr>
            </w:pP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441" w:type="dxa"/>
            <w:shd w:val="clear" w:color="000000" w:fill="FFFFFF"/>
            <w:noWrap w:val="0"/>
            <w:vAlign w:val="center"/>
          </w:tcPr>
          <w:p>
            <w:pPr>
              <w:overflowPunct w:val="0"/>
              <w:spacing w:line="240" w:lineRule="exact"/>
              <w:jc w:val="center"/>
              <w:rPr>
                <w:rFonts w:hint="eastAsia" w:ascii="方正仿宋_GBK"/>
                <w:color w:val="000000"/>
                <w:sz w:val="18"/>
                <w:szCs w:val="18"/>
              </w:rPr>
            </w:pPr>
            <w:r>
              <w:rPr>
                <w:rFonts w:hint="eastAsia" w:ascii="方正仿宋_GBK"/>
                <w:color w:val="000000"/>
                <w:sz w:val="18"/>
                <w:szCs w:val="18"/>
              </w:rPr>
              <w:t>4</w:t>
            </w:r>
          </w:p>
        </w:tc>
        <w:tc>
          <w:tcPr>
            <w:tcW w:w="437" w:type="dxa"/>
            <w:vMerge w:val="restart"/>
            <w:shd w:val="clear" w:color="000000" w:fill="FFFFFF"/>
            <w:noWrap w:val="0"/>
            <w:vAlign w:val="center"/>
          </w:tcPr>
          <w:p>
            <w:pPr>
              <w:overflowPunct w:val="0"/>
              <w:spacing w:line="240" w:lineRule="exact"/>
              <w:jc w:val="center"/>
              <w:rPr>
                <w:rFonts w:hint="eastAsia" w:ascii="方正仿宋_GBK"/>
                <w:color w:val="000000"/>
                <w:sz w:val="18"/>
                <w:szCs w:val="18"/>
              </w:rPr>
            </w:pPr>
            <w:r>
              <w:rPr>
                <w:rFonts w:hint="eastAsia" w:ascii="方正仿宋_GBK"/>
                <w:color w:val="000000"/>
                <w:sz w:val="18"/>
                <w:szCs w:val="18"/>
              </w:rPr>
              <w:t>执行</w:t>
            </w:r>
          </w:p>
        </w:tc>
        <w:tc>
          <w:tcPr>
            <w:tcW w:w="588" w:type="dxa"/>
            <w:vMerge w:val="restart"/>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计划实施</w:t>
            </w:r>
          </w:p>
        </w:tc>
        <w:tc>
          <w:tcPr>
            <w:tcW w:w="588"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任务分配</w:t>
            </w:r>
          </w:p>
        </w:tc>
        <w:tc>
          <w:tcPr>
            <w:tcW w:w="1301"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及时公开农村危房改造补助农户名单</w:t>
            </w:r>
          </w:p>
        </w:tc>
        <w:tc>
          <w:tcPr>
            <w:tcW w:w="2547" w:type="dxa"/>
            <w:vMerge w:val="restart"/>
            <w:shd w:val="clear" w:color="auto" w:fill="auto"/>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住房城乡建设部关于切实加强农房建设质量安全管理的通知》《重庆市住房和城乡建设委员会关于进一步规范农村危房改造工作的通知》《住房城乡建设部 财政部 国务院扶贫办关于决战决胜脱贫攻坚进一步做好农村危房改造的通知》</w:t>
            </w:r>
          </w:p>
        </w:tc>
        <w:tc>
          <w:tcPr>
            <w:tcW w:w="1121"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分配结果确定后20个工作日内</w:t>
            </w:r>
          </w:p>
        </w:tc>
        <w:tc>
          <w:tcPr>
            <w:tcW w:w="1008" w:type="dxa"/>
            <w:shd w:val="clear" w:color="auto" w:fill="auto"/>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■政府网站      □政府公报</w:t>
            </w:r>
          </w:p>
          <w:p>
            <w:pPr>
              <w:overflowPunct w:val="0"/>
              <w:spacing w:line="240" w:lineRule="exact"/>
              <w:rPr>
                <w:rFonts w:hint="eastAsia" w:ascii="方正仿宋_GBK"/>
                <w:color w:val="000000"/>
                <w:sz w:val="18"/>
                <w:szCs w:val="18"/>
              </w:rPr>
            </w:pPr>
            <w:r>
              <w:rPr>
                <w:rFonts w:hint="eastAsia" w:ascii="方正仿宋_GBK"/>
                <w:color w:val="000000"/>
                <w:sz w:val="18"/>
                <w:szCs w:val="18"/>
              </w:rPr>
              <w:t>□两微一端      □发布会/听证会</w:t>
            </w:r>
          </w:p>
          <w:p>
            <w:pPr>
              <w:overflowPunct w:val="0"/>
              <w:spacing w:line="240" w:lineRule="exact"/>
              <w:rPr>
                <w:rFonts w:hint="eastAsia" w:ascii="方正仿宋_GBK"/>
                <w:color w:val="000000"/>
                <w:sz w:val="18"/>
                <w:szCs w:val="18"/>
              </w:rPr>
            </w:pPr>
            <w:r>
              <w:rPr>
                <w:rFonts w:hint="eastAsia" w:ascii="方正仿宋_GBK"/>
                <w:color w:val="000000"/>
                <w:sz w:val="18"/>
                <w:szCs w:val="18"/>
              </w:rPr>
              <w:t>□广播电视      □纸质媒体</w:t>
            </w:r>
          </w:p>
          <w:p>
            <w:pPr>
              <w:overflowPunct w:val="0"/>
              <w:spacing w:line="240" w:lineRule="exact"/>
              <w:rPr>
                <w:rFonts w:hint="eastAsia" w:ascii="方正仿宋_GBK"/>
                <w:color w:val="000000"/>
                <w:sz w:val="18"/>
                <w:szCs w:val="18"/>
              </w:rPr>
            </w:pPr>
            <w:r>
              <w:rPr>
                <w:rFonts w:hint="eastAsia" w:ascii="方正仿宋_GBK"/>
                <w:color w:val="000000"/>
                <w:sz w:val="18"/>
                <w:szCs w:val="18"/>
              </w:rPr>
              <w:t>□公开查阅点    □政务服务中心</w:t>
            </w:r>
          </w:p>
          <w:p>
            <w:pPr>
              <w:overflowPunct w:val="0"/>
              <w:spacing w:line="240" w:lineRule="exact"/>
              <w:rPr>
                <w:rFonts w:hint="eastAsia" w:ascii="方正仿宋_GBK"/>
                <w:color w:val="000000"/>
                <w:sz w:val="18"/>
                <w:szCs w:val="18"/>
              </w:rPr>
            </w:pPr>
            <w:r>
              <w:rPr>
                <w:rFonts w:hint="eastAsia" w:ascii="方正仿宋_GBK"/>
                <w:color w:val="000000"/>
                <w:sz w:val="18"/>
                <w:szCs w:val="18"/>
              </w:rPr>
              <w:t>□便民服务站    □入户/现场</w:t>
            </w:r>
          </w:p>
          <w:p>
            <w:pPr>
              <w:overflowPunct w:val="0"/>
              <w:spacing w:line="240" w:lineRule="exact"/>
              <w:rPr>
                <w:rFonts w:hint="eastAsia" w:ascii="方正仿宋_GBK"/>
                <w:color w:val="000000"/>
                <w:spacing w:val="-12"/>
                <w:sz w:val="18"/>
                <w:szCs w:val="18"/>
              </w:rPr>
            </w:pPr>
            <w:r>
              <w:rPr>
                <w:rFonts w:hint="eastAsia" w:ascii="方正仿宋_GBK"/>
                <w:color w:val="000000"/>
                <w:sz w:val="18"/>
                <w:szCs w:val="18"/>
              </w:rPr>
              <w:t>■</w:t>
            </w:r>
            <w:r>
              <w:rPr>
                <w:rFonts w:hint="eastAsia" w:ascii="方正仿宋_GBK"/>
                <w:color w:val="000000"/>
                <w:spacing w:val="-12"/>
                <w:sz w:val="18"/>
                <w:szCs w:val="18"/>
              </w:rPr>
              <w:t>社区/企事业单位/村公示栏（电子屏）</w:t>
            </w:r>
          </w:p>
          <w:p>
            <w:pPr>
              <w:overflowPunct w:val="0"/>
              <w:spacing w:line="240" w:lineRule="exact"/>
              <w:rPr>
                <w:rFonts w:hint="eastAsia" w:ascii="方正仿宋_GBK"/>
                <w:color w:val="000000"/>
                <w:sz w:val="18"/>
                <w:szCs w:val="18"/>
              </w:rPr>
            </w:pP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40" w:lineRule="exact"/>
              <w:rPr>
                <w:rFonts w:hint="eastAsia" w:ascii="方正仿宋_GBK"/>
                <w:color w:val="000000"/>
                <w:sz w:val="18"/>
                <w:szCs w:val="18"/>
              </w:rPr>
            </w:pP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p>
        </w:tc>
        <w:tc>
          <w:tcPr>
            <w:tcW w:w="392"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441" w:type="dxa"/>
            <w:shd w:val="clear" w:color="auto" w:fill="auto"/>
            <w:noWrap w:val="0"/>
            <w:vAlign w:val="center"/>
          </w:tcPr>
          <w:p>
            <w:pPr>
              <w:overflowPunct w:val="0"/>
              <w:spacing w:line="240" w:lineRule="exact"/>
              <w:jc w:val="center"/>
              <w:rPr>
                <w:rFonts w:hint="eastAsia" w:ascii="方正仿宋_GBK"/>
                <w:color w:val="000000"/>
                <w:sz w:val="18"/>
                <w:szCs w:val="18"/>
              </w:rPr>
            </w:pPr>
            <w:r>
              <w:rPr>
                <w:rFonts w:hint="eastAsia" w:ascii="方正仿宋_GBK"/>
                <w:color w:val="000000"/>
                <w:sz w:val="18"/>
                <w:szCs w:val="18"/>
              </w:rPr>
              <w:t>5</w:t>
            </w:r>
          </w:p>
        </w:tc>
        <w:tc>
          <w:tcPr>
            <w:tcW w:w="437" w:type="dxa"/>
            <w:vMerge w:val="continue"/>
            <w:shd w:val="clear" w:color="auto" w:fill="auto"/>
            <w:noWrap w:val="0"/>
            <w:vAlign w:val="center"/>
          </w:tcPr>
          <w:p>
            <w:pPr>
              <w:overflowPunct w:val="0"/>
              <w:spacing w:line="240" w:lineRule="exact"/>
              <w:jc w:val="center"/>
              <w:rPr>
                <w:rFonts w:hint="eastAsia" w:ascii="方正仿宋_GBK"/>
                <w:color w:val="000000"/>
                <w:sz w:val="18"/>
                <w:szCs w:val="18"/>
              </w:rPr>
            </w:pPr>
          </w:p>
        </w:tc>
        <w:tc>
          <w:tcPr>
            <w:tcW w:w="588" w:type="dxa"/>
            <w:vMerge w:val="continue"/>
            <w:shd w:val="clear" w:color="auto" w:fill="auto"/>
            <w:noWrap w:val="0"/>
            <w:vAlign w:val="center"/>
          </w:tcPr>
          <w:p>
            <w:pPr>
              <w:overflowPunct w:val="0"/>
              <w:spacing w:line="240" w:lineRule="exact"/>
              <w:rPr>
                <w:rFonts w:hint="eastAsia" w:ascii="方正仿宋_GBK"/>
                <w:color w:val="000000"/>
                <w:sz w:val="18"/>
                <w:szCs w:val="18"/>
              </w:rPr>
            </w:pPr>
          </w:p>
        </w:tc>
        <w:tc>
          <w:tcPr>
            <w:tcW w:w="588"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组织培训</w:t>
            </w:r>
          </w:p>
        </w:tc>
        <w:tc>
          <w:tcPr>
            <w:tcW w:w="1301"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组织开展农村建筑工匠培训文件</w:t>
            </w:r>
          </w:p>
        </w:tc>
        <w:tc>
          <w:tcPr>
            <w:tcW w:w="2547" w:type="dxa"/>
            <w:vMerge w:val="continue"/>
            <w:shd w:val="clear" w:color="auto" w:fill="auto"/>
            <w:noWrap w:val="0"/>
            <w:vAlign w:val="center"/>
          </w:tcPr>
          <w:p>
            <w:pPr>
              <w:overflowPunct w:val="0"/>
              <w:spacing w:line="24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40" w:lineRule="exact"/>
              <w:rPr>
                <w:rFonts w:hint="eastAsia" w:ascii="方正仿宋_GBK"/>
                <w:color w:val="000000"/>
                <w:sz w:val="18"/>
                <w:szCs w:val="18"/>
              </w:rPr>
            </w:pP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p>
        </w:tc>
        <w:tc>
          <w:tcPr>
            <w:tcW w:w="392"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4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6</w:t>
            </w:r>
          </w:p>
        </w:tc>
        <w:tc>
          <w:tcPr>
            <w:tcW w:w="437" w:type="dxa"/>
            <w:vMerge w:val="restart"/>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管理</w:t>
            </w:r>
          </w:p>
        </w:tc>
        <w:tc>
          <w:tcPr>
            <w:tcW w:w="588" w:type="dxa"/>
            <w:vMerge w:val="restart"/>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条件与标准</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农村危房等级评定标准</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农村危房等级评定相关标准</w:t>
            </w:r>
          </w:p>
        </w:tc>
        <w:tc>
          <w:tcPr>
            <w:tcW w:w="2547" w:type="dxa"/>
            <w:vMerge w:val="restart"/>
            <w:shd w:val="clear" w:color="auto" w:fill="auto"/>
            <w:noWrap w:val="0"/>
            <w:vAlign w:val="center"/>
          </w:tcPr>
          <w:p>
            <w:pPr>
              <w:overflowPunct w:val="0"/>
              <w:spacing w:line="200" w:lineRule="exact"/>
              <w:rPr>
                <w:rFonts w:hint="eastAsia" w:ascii="方正仿宋_GBK"/>
                <w:color w:val="000000"/>
                <w:sz w:val="15"/>
                <w:szCs w:val="15"/>
              </w:rPr>
            </w:pPr>
            <w:r>
              <w:rPr>
                <w:rFonts w:hint="eastAsia" w:ascii="方正仿宋_GBK"/>
                <w:color w:val="000000"/>
                <w:sz w:val="15"/>
                <w:szCs w:val="15"/>
              </w:rPr>
              <w:t>《中华人民共和国预算法》《中华人民共和国政府信息公开条例》《住房城乡建设部 财政部关于印发农村危房改造脱贫攻坚三年行动方案的通知》《住房城乡建设部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等《住房城乡建设部 财政部关于印发农村危房改造脱贫攻坚三年行动方案的通知》《住房城乡建设部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等</w:t>
            </w: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p>
          <w:p>
            <w:pPr>
              <w:overflowPunct w:val="0"/>
              <w:spacing w:line="220" w:lineRule="exact"/>
              <w:rPr>
                <w:rFonts w:hint="eastAsia" w:ascii="方正仿宋_GBK"/>
                <w:color w:val="000000"/>
                <w:sz w:val="18"/>
                <w:szCs w:val="18"/>
              </w:rPr>
            </w:pPr>
            <w:r>
              <w:rPr>
                <w:rFonts w:hint="eastAsia" w:ascii="方正仿宋_GBK"/>
                <w:color w:val="000000"/>
                <w:sz w:val="18"/>
                <w:szCs w:val="18"/>
              </w:rPr>
              <w:t>□两微一端      □发布会/听证会</w:t>
            </w:r>
          </w:p>
          <w:p>
            <w:pPr>
              <w:overflowPunct w:val="0"/>
              <w:spacing w:line="220" w:lineRule="exact"/>
              <w:rPr>
                <w:rFonts w:hint="eastAsia" w:ascii="方正仿宋_GBK"/>
                <w:color w:val="000000"/>
                <w:sz w:val="18"/>
                <w:szCs w:val="18"/>
              </w:rPr>
            </w:pPr>
            <w:r>
              <w:rPr>
                <w:rFonts w:hint="eastAsia" w:ascii="方正仿宋_GBK"/>
                <w:color w:val="000000"/>
                <w:sz w:val="18"/>
                <w:szCs w:val="18"/>
              </w:rPr>
              <w:t>□广播电视      □纸质媒体</w:t>
            </w:r>
          </w:p>
          <w:p>
            <w:pPr>
              <w:overflowPunct w:val="0"/>
              <w:spacing w:line="220" w:lineRule="exact"/>
              <w:rPr>
                <w:rFonts w:hint="eastAsia" w:ascii="方正仿宋_GBK"/>
                <w:color w:val="000000"/>
                <w:sz w:val="18"/>
                <w:szCs w:val="18"/>
              </w:rPr>
            </w:pPr>
            <w:r>
              <w:rPr>
                <w:rFonts w:hint="eastAsia" w:ascii="方正仿宋_GBK"/>
                <w:color w:val="000000"/>
                <w:sz w:val="18"/>
                <w:szCs w:val="18"/>
              </w:rPr>
              <w:t>□公开查阅点    □政务服务中心</w:t>
            </w:r>
          </w:p>
          <w:p>
            <w:pPr>
              <w:overflowPunct w:val="0"/>
              <w:spacing w:line="220" w:lineRule="exact"/>
              <w:rPr>
                <w:rFonts w:hint="eastAsia" w:ascii="方正仿宋_GBK"/>
                <w:color w:val="000000"/>
                <w:sz w:val="18"/>
                <w:szCs w:val="18"/>
              </w:rPr>
            </w:pPr>
            <w:r>
              <w:rPr>
                <w:rFonts w:hint="eastAsia" w:ascii="方正仿宋_GBK"/>
                <w:color w:val="000000"/>
                <w:sz w:val="18"/>
                <w:szCs w:val="18"/>
              </w:rPr>
              <w:t>□便民服务站    □入户/现场</w:t>
            </w:r>
          </w:p>
          <w:p>
            <w:pPr>
              <w:overflowPunct w:val="0"/>
              <w:spacing w:line="220" w:lineRule="exact"/>
              <w:rPr>
                <w:rFonts w:hint="eastAsia" w:ascii="方正仿宋_GBK"/>
                <w:color w:val="000000"/>
                <w:spacing w:val="-12"/>
                <w:sz w:val="18"/>
                <w:szCs w:val="18"/>
              </w:rPr>
            </w:pPr>
            <w:r>
              <w:rPr>
                <w:rFonts w:hint="eastAsia" w:ascii="方正仿宋_GBK"/>
                <w:color w:val="000000"/>
                <w:sz w:val="18"/>
                <w:szCs w:val="18"/>
              </w:rPr>
              <w:t>□</w:t>
            </w:r>
            <w:r>
              <w:rPr>
                <w:rFonts w:hint="eastAsia" w:ascii="方正仿宋_GBK"/>
                <w:color w:val="000000"/>
                <w:spacing w:val="-12"/>
                <w:sz w:val="18"/>
                <w:szCs w:val="18"/>
              </w:rPr>
              <w:t>社区/企事业单位/村公示栏（电子屏）</w:t>
            </w:r>
          </w:p>
          <w:p>
            <w:pPr>
              <w:overflowPunct w:val="0"/>
              <w:spacing w:line="220" w:lineRule="exact"/>
              <w:rPr>
                <w:rFonts w:hint="eastAsia" w:ascii="方正仿宋_GBK"/>
                <w:color w:val="000000"/>
                <w:sz w:val="18"/>
                <w:szCs w:val="18"/>
              </w:rPr>
            </w:pP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7</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农村危房改造对象申请条件</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农村危房改造农户申请条件</w:t>
            </w:r>
          </w:p>
        </w:tc>
        <w:tc>
          <w:tcPr>
            <w:tcW w:w="2547"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8</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农村危房改造资金补助标准</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农村危房改造资金补助标准</w:t>
            </w:r>
          </w:p>
        </w:tc>
        <w:tc>
          <w:tcPr>
            <w:tcW w:w="2547"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9</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条件与标准</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农村危房改造竣工合格标准</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农村危房改造竣工验收要求</w:t>
            </w:r>
          </w:p>
        </w:tc>
        <w:tc>
          <w:tcPr>
            <w:tcW w:w="2547"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10</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vMerge w:val="restart"/>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对象认定</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危改户认定程序</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农村危房改造申请程序</w:t>
            </w:r>
          </w:p>
        </w:tc>
        <w:tc>
          <w:tcPr>
            <w:tcW w:w="2547"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p>
          <w:p>
            <w:pPr>
              <w:overflowPunct w:val="0"/>
              <w:spacing w:line="220" w:lineRule="exact"/>
              <w:rPr>
                <w:rFonts w:hint="eastAsia" w:ascii="方正仿宋_GBK"/>
                <w:color w:val="000000"/>
                <w:sz w:val="18"/>
                <w:szCs w:val="18"/>
              </w:rPr>
            </w:pPr>
            <w:r>
              <w:rPr>
                <w:rFonts w:hint="eastAsia" w:ascii="方正仿宋_GBK"/>
                <w:color w:val="000000"/>
                <w:sz w:val="18"/>
                <w:szCs w:val="18"/>
              </w:rPr>
              <w:t>□两微一端      □发布会/听证会</w:t>
            </w:r>
          </w:p>
          <w:p>
            <w:pPr>
              <w:overflowPunct w:val="0"/>
              <w:spacing w:line="220" w:lineRule="exact"/>
              <w:rPr>
                <w:rFonts w:hint="eastAsia" w:ascii="方正仿宋_GBK"/>
                <w:color w:val="000000"/>
                <w:sz w:val="18"/>
                <w:szCs w:val="18"/>
              </w:rPr>
            </w:pPr>
            <w:r>
              <w:rPr>
                <w:rFonts w:hint="eastAsia" w:ascii="方正仿宋_GBK"/>
                <w:color w:val="000000"/>
                <w:sz w:val="18"/>
                <w:szCs w:val="18"/>
              </w:rPr>
              <w:t>□广播电视      □纸质媒体</w:t>
            </w:r>
          </w:p>
          <w:p>
            <w:pPr>
              <w:overflowPunct w:val="0"/>
              <w:spacing w:line="220" w:lineRule="exact"/>
              <w:rPr>
                <w:rFonts w:hint="eastAsia" w:ascii="方正仿宋_GBK"/>
                <w:color w:val="000000"/>
                <w:sz w:val="18"/>
                <w:szCs w:val="18"/>
              </w:rPr>
            </w:pPr>
            <w:r>
              <w:rPr>
                <w:rFonts w:hint="eastAsia" w:ascii="方正仿宋_GBK"/>
                <w:color w:val="000000"/>
                <w:sz w:val="18"/>
                <w:szCs w:val="18"/>
              </w:rPr>
              <w:t>□公开查阅点    □政务服务中心</w:t>
            </w:r>
          </w:p>
          <w:p>
            <w:pPr>
              <w:overflowPunct w:val="0"/>
              <w:spacing w:line="220" w:lineRule="exact"/>
              <w:rPr>
                <w:rFonts w:hint="eastAsia" w:ascii="方正仿宋_GBK"/>
                <w:color w:val="000000"/>
                <w:sz w:val="18"/>
                <w:szCs w:val="18"/>
              </w:rPr>
            </w:pPr>
            <w:r>
              <w:rPr>
                <w:rFonts w:hint="eastAsia" w:ascii="方正仿宋_GBK"/>
                <w:color w:val="000000"/>
                <w:sz w:val="18"/>
                <w:szCs w:val="18"/>
              </w:rPr>
              <w:t>□便民服务站    □入户/现场</w:t>
            </w:r>
          </w:p>
          <w:p>
            <w:pPr>
              <w:overflowPunct w:val="0"/>
              <w:spacing w:line="220" w:lineRule="exact"/>
              <w:rPr>
                <w:rFonts w:hint="eastAsia" w:ascii="方正仿宋_GBK"/>
                <w:color w:val="000000"/>
                <w:spacing w:val="-12"/>
                <w:sz w:val="18"/>
                <w:szCs w:val="18"/>
              </w:rPr>
            </w:pPr>
            <w:r>
              <w:rPr>
                <w:rFonts w:hint="eastAsia" w:ascii="方正仿宋_GBK"/>
                <w:color w:val="000000"/>
                <w:sz w:val="18"/>
                <w:szCs w:val="18"/>
              </w:rPr>
              <w:t>□</w:t>
            </w:r>
            <w:r>
              <w:rPr>
                <w:rFonts w:hint="eastAsia" w:ascii="方正仿宋_GBK"/>
                <w:color w:val="000000"/>
                <w:spacing w:val="-12"/>
                <w:sz w:val="18"/>
                <w:szCs w:val="18"/>
              </w:rPr>
              <w:t>社区/企事业单位/村公示栏（电子屏）</w:t>
            </w:r>
          </w:p>
          <w:p>
            <w:pPr>
              <w:overflowPunct w:val="0"/>
              <w:spacing w:line="220" w:lineRule="exact"/>
              <w:rPr>
                <w:rFonts w:hint="eastAsia" w:ascii="方正仿宋_GBK"/>
                <w:color w:val="000000"/>
                <w:sz w:val="18"/>
                <w:szCs w:val="18"/>
              </w:rPr>
            </w:pP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441"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11</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认定结果</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认定结果</w:t>
            </w:r>
          </w:p>
        </w:tc>
        <w:tc>
          <w:tcPr>
            <w:tcW w:w="2547" w:type="dxa"/>
            <w:vMerge w:val="continue"/>
            <w:shd w:val="clear" w:color="auto" w:fill="auto"/>
            <w:noWrap w:val="0"/>
            <w:vAlign w:val="center"/>
          </w:tcPr>
          <w:p>
            <w:pPr>
              <w:overflowPunct w:val="0"/>
              <w:spacing w:line="220" w:lineRule="exact"/>
              <w:rPr>
                <w:rFonts w:hint="eastAsia" w:ascii="方正仿宋_GBK"/>
                <w:color w:val="000000"/>
                <w:sz w:val="18"/>
                <w:szCs w:val="18"/>
              </w:rPr>
            </w:pP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乡镇人民政府、村委会</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441" w:type="dxa"/>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12</w:t>
            </w:r>
          </w:p>
        </w:tc>
        <w:tc>
          <w:tcPr>
            <w:tcW w:w="437" w:type="dxa"/>
            <w:shd w:val="clear" w:color="auto" w:fill="auto"/>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管理</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预算</w:t>
            </w:r>
            <w:r>
              <w:rPr>
                <w:rFonts w:hint="eastAsia" w:ascii="方正仿宋_GBK"/>
                <w:color w:val="000000"/>
                <w:sz w:val="18"/>
                <w:szCs w:val="18"/>
              </w:rPr>
              <w:br w:type="textWrapping"/>
            </w:r>
            <w:r>
              <w:rPr>
                <w:rFonts w:hint="eastAsia" w:ascii="方正仿宋_GBK"/>
                <w:color w:val="000000"/>
                <w:sz w:val="18"/>
                <w:szCs w:val="18"/>
              </w:rPr>
              <w:t>管理</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预算编制和执行情况</w:t>
            </w:r>
          </w:p>
        </w:tc>
        <w:tc>
          <w:tcPr>
            <w:tcW w:w="130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预算、预算调整、决算、预算执行情况的报告及报表有关内容，部门预算、决算及报表有关内容</w:t>
            </w:r>
          </w:p>
        </w:tc>
        <w:tc>
          <w:tcPr>
            <w:tcW w:w="2547"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《中华人民共和国预算法》</w:t>
            </w:r>
            <w:r>
              <w:rPr>
                <w:rFonts w:hint="eastAsia" w:ascii="方正仿宋_GBK"/>
                <w:color w:val="000000"/>
                <w:sz w:val="18"/>
                <w:szCs w:val="18"/>
              </w:rPr>
              <w:br w:type="textWrapping"/>
            </w:r>
            <w:r>
              <w:rPr>
                <w:rFonts w:hint="eastAsia" w:ascii="方正仿宋_GBK"/>
                <w:color w:val="000000"/>
                <w:sz w:val="18"/>
                <w:szCs w:val="18"/>
              </w:rPr>
              <w:t>《中华人民共和国政府信息公开条例》</w:t>
            </w:r>
            <w:r>
              <w:rPr>
                <w:rFonts w:hint="eastAsia" w:ascii="方正仿宋_GBK"/>
                <w:color w:val="000000"/>
                <w:sz w:val="18"/>
                <w:szCs w:val="18"/>
              </w:rPr>
              <w:br w:type="textWrapping"/>
            </w:r>
            <w:r>
              <w:rPr>
                <w:rFonts w:hint="eastAsia" w:ascii="方正仿宋_GBK"/>
                <w:color w:val="000000"/>
                <w:sz w:val="18"/>
                <w:szCs w:val="18"/>
              </w:rPr>
              <w:t>《住房城乡建设部办公厅关于印发保障性住房等基层政务公开标准目录的通知》</w:t>
            </w:r>
          </w:p>
        </w:tc>
        <w:tc>
          <w:tcPr>
            <w:tcW w:w="1121"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经县级人民代表大会、人民代表大会常务委员会批准或财政部门批复后20日内</w:t>
            </w:r>
          </w:p>
        </w:tc>
        <w:tc>
          <w:tcPr>
            <w:tcW w:w="100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县财政局、县住房城乡建委</w:t>
            </w:r>
          </w:p>
        </w:tc>
        <w:tc>
          <w:tcPr>
            <w:tcW w:w="2926"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shd w:val="clear" w:color="000000" w:fill="FFFFFF"/>
            <w:noWrap w:val="0"/>
            <w:vAlign w:val="center"/>
          </w:tcPr>
          <w:p>
            <w:pPr>
              <w:overflowPunct w:val="0"/>
              <w:spacing w:line="220" w:lineRule="exact"/>
              <w:rPr>
                <w:rFonts w:hint="eastAsia" w:ascii="方正仿宋_GBK"/>
                <w:color w:val="000000"/>
                <w:sz w:val="18"/>
                <w:szCs w:val="18"/>
              </w:rPr>
            </w:pP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c>
          <w:tcPr>
            <w:tcW w:w="392"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shd w:val="clear" w:color="000000" w:fill="FFFFFF"/>
            <w:noWrap w:val="0"/>
            <w:vAlign w:val="center"/>
          </w:tcPr>
          <w:p>
            <w:pPr>
              <w:overflowPunct w:val="0"/>
              <w:spacing w:line="220" w:lineRule="exact"/>
              <w:rPr>
                <w:rFonts w:hint="eastAsia" w:ascii="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441" w:type="dxa"/>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13</w:t>
            </w:r>
          </w:p>
        </w:tc>
        <w:tc>
          <w:tcPr>
            <w:tcW w:w="437" w:type="dxa"/>
            <w:vMerge w:val="restart"/>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结果</w:t>
            </w:r>
          </w:p>
        </w:tc>
        <w:tc>
          <w:tcPr>
            <w:tcW w:w="58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决策</w:t>
            </w:r>
            <w:r>
              <w:rPr>
                <w:rFonts w:hint="eastAsia" w:ascii="方正仿宋_GBK"/>
                <w:color w:val="000000"/>
                <w:sz w:val="18"/>
                <w:szCs w:val="18"/>
              </w:rPr>
              <w:br w:type="textWrapping"/>
            </w:r>
            <w:r>
              <w:rPr>
                <w:rFonts w:hint="eastAsia" w:ascii="方正仿宋_GBK"/>
                <w:color w:val="000000"/>
                <w:sz w:val="18"/>
                <w:szCs w:val="18"/>
              </w:rPr>
              <w:t>部署</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决策部署落实情况</w:t>
            </w:r>
          </w:p>
        </w:tc>
        <w:tc>
          <w:tcPr>
            <w:tcW w:w="130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决策部署落实情况等</w:t>
            </w:r>
          </w:p>
        </w:tc>
        <w:tc>
          <w:tcPr>
            <w:tcW w:w="2547"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《中共中央办公厅国务院办公厅印发〈关于全面推进政务公开工作的意见〉的通知》</w:t>
            </w:r>
            <w:r>
              <w:rPr>
                <w:rFonts w:hint="eastAsia" w:ascii="方正仿宋_GBK"/>
                <w:color w:val="000000"/>
                <w:sz w:val="18"/>
                <w:szCs w:val="18"/>
              </w:rPr>
              <w:br w:type="textWrapping"/>
            </w:r>
            <w:r>
              <w:rPr>
                <w:rFonts w:hint="eastAsia" w:ascii="方正仿宋_GBK"/>
                <w:color w:val="000000"/>
                <w:sz w:val="18"/>
                <w:szCs w:val="18"/>
              </w:rPr>
              <w:t>《国务院办公厅印发〈关于全面推进政务公开工作的意见〉实施细则的通知》</w:t>
            </w:r>
            <w:r>
              <w:rPr>
                <w:rFonts w:hint="eastAsia" w:ascii="方正仿宋_GBK"/>
                <w:color w:val="000000"/>
                <w:sz w:val="18"/>
                <w:szCs w:val="18"/>
              </w:rPr>
              <w:br w:type="textWrapping"/>
            </w:r>
            <w:r>
              <w:rPr>
                <w:rFonts w:hint="eastAsia" w:ascii="方正仿宋_GBK"/>
                <w:color w:val="000000"/>
                <w:sz w:val="18"/>
                <w:szCs w:val="18"/>
              </w:rPr>
              <w:t>《住房城乡建设部办公厅关于印发保障性住房等基层政务公开标准目录的通知》</w:t>
            </w: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441" w:type="dxa"/>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14</w:t>
            </w:r>
          </w:p>
        </w:tc>
        <w:tc>
          <w:tcPr>
            <w:tcW w:w="437" w:type="dxa"/>
            <w:vMerge w:val="continue"/>
            <w:shd w:val="clear" w:color="auto" w:fill="auto"/>
            <w:noWrap w:val="0"/>
            <w:vAlign w:val="center"/>
          </w:tcPr>
          <w:p>
            <w:pPr>
              <w:overflowPunct w:val="0"/>
              <w:spacing w:line="220" w:lineRule="exact"/>
              <w:jc w:val="center"/>
              <w:rPr>
                <w:rFonts w:hint="eastAsia" w:ascii="方正仿宋_GBK"/>
                <w:color w:val="000000"/>
                <w:sz w:val="18"/>
                <w:szCs w:val="18"/>
              </w:rPr>
            </w:pPr>
          </w:p>
        </w:tc>
        <w:tc>
          <w:tcPr>
            <w:tcW w:w="588" w:type="dxa"/>
            <w:shd w:val="clear" w:color="auto" w:fill="auto"/>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年度任务实施</w:t>
            </w:r>
          </w:p>
        </w:tc>
        <w:tc>
          <w:tcPr>
            <w:tcW w:w="588" w:type="dxa"/>
            <w:shd w:val="clear" w:color="000000" w:fill="FFFFFF"/>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年度任务执行情况</w:t>
            </w:r>
          </w:p>
        </w:tc>
        <w:tc>
          <w:tcPr>
            <w:tcW w:w="130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年度工作完成情况等</w:t>
            </w:r>
          </w:p>
        </w:tc>
        <w:tc>
          <w:tcPr>
            <w:tcW w:w="2547" w:type="dxa"/>
            <w:vMerge w:val="continue"/>
            <w:noWrap w:val="0"/>
            <w:vAlign w:val="center"/>
          </w:tcPr>
          <w:p>
            <w:pPr>
              <w:overflowPunct w:val="0"/>
              <w:spacing w:line="220" w:lineRule="exact"/>
              <w:rPr>
                <w:rFonts w:hint="eastAsia" w:ascii="方正仿宋_GBK"/>
                <w:color w:val="000000"/>
                <w:sz w:val="18"/>
                <w:szCs w:val="18"/>
              </w:rPr>
            </w:pP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p>
          <w:p>
            <w:pPr>
              <w:overflowPunct w:val="0"/>
              <w:spacing w:line="220" w:lineRule="exact"/>
              <w:rPr>
                <w:rFonts w:hint="eastAsia" w:ascii="方正仿宋_GBK"/>
                <w:color w:val="000000"/>
                <w:sz w:val="18"/>
                <w:szCs w:val="18"/>
              </w:rPr>
            </w:pPr>
            <w:r>
              <w:rPr>
                <w:rFonts w:hint="eastAsia" w:ascii="方正仿宋_GBK"/>
                <w:color w:val="000000"/>
                <w:sz w:val="18"/>
                <w:szCs w:val="18"/>
              </w:rPr>
              <w:t>□两微一端      □发布会/听证会</w:t>
            </w:r>
          </w:p>
          <w:p>
            <w:pPr>
              <w:overflowPunct w:val="0"/>
              <w:spacing w:line="220" w:lineRule="exact"/>
              <w:rPr>
                <w:rFonts w:hint="eastAsia" w:ascii="方正仿宋_GBK"/>
                <w:color w:val="000000"/>
                <w:sz w:val="18"/>
                <w:szCs w:val="18"/>
              </w:rPr>
            </w:pPr>
            <w:r>
              <w:rPr>
                <w:rFonts w:hint="eastAsia" w:ascii="方正仿宋_GBK"/>
                <w:color w:val="000000"/>
                <w:sz w:val="18"/>
                <w:szCs w:val="18"/>
              </w:rPr>
              <w:t>□广播电视      □纸质媒体</w:t>
            </w:r>
          </w:p>
          <w:p>
            <w:pPr>
              <w:overflowPunct w:val="0"/>
              <w:spacing w:line="220" w:lineRule="exact"/>
              <w:rPr>
                <w:rFonts w:hint="eastAsia" w:ascii="方正仿宋_GBK"/>
                <w:color w:val="000000"/>
                <w:sz w:val="18"/>
                <w:szCs w:val="18"/>
              </w:rPr>
            </w:pPr>
            <w:r>
              <w:rPr>
                <w:rFonts w:hint="eastAsia" w:ascii="方正仿宋_GBK"/>
                <w:color w:val="000000"/>
                <w:sz w:val="18"/>
                <w:szCs w:val="18"/>
              </w:rPr>
              <w:t>□公开查阅点    □政务服务中心</w:t>
            </w:r>
          </w:p>
          <w:p>
            <w:pPr>
              <w:overflowPunct w:val="0"/>
              <w:spacing w:line="220" w:lineRule="exact"/>
              <w:rPr>
                <w:rFonts w:hint="eastAsia" w:ascii="方正仿宋_GBK"/>
                <w:color w:val="000000"/>
                <w:sz w:val="18"/>
                <w:szCs w:val="18"/>
              </w:rPr>
            </w:pPr>
            <w:r>
              <w:rPr>
                <w:rFonts w:hint="eastAsia" w:ascii="方正仿宋_GBK"/>
                <w:color w:val="000000"/>
                <w:sz w:val="18"/>
                <w:szCs w:val="18"/>
              </w:rPr>
              <w:t>□便民服务站    □入户/现场</w:t>
            </w:r>
          </w:p>
          <w:p>
            <w:pPr>
              <w:overflowPunct w:val="0"/>
              <w:spacing w:line="220" w:lineRule="exact"/>
              <w:rPr>
                <w:rFonts w:hint="eastAsia" w:ascii="方正仿宋_GBK"/>
                <w:color w:val="000000"/>
                <w:spacing w:val="-12"/>
                <w:sz w:val="18"/>
                <w:szCs w:val="18"/>
              </w:rPr>
            </w:pPr>
            <w:r>
              <w:rPr>
                <w:rFonts w:hint="eastAsia" w:ascii="方正仿宋_GBK"/>
                <w:color w:val="000000"/>
                <w:sz w:val="18"/>
                <w:szCs w:val="18"/>
              </w:rPr>
              <w:t>□</w:t>
            </w:r>
            <w:r>
              <w:rPr>
                <w:rFonts w:hint="eastAsia" w:ascii="方正仿宋_GBK"/>
                <w:color w:val="000000"/>
                <w:spacing w:val="-12"/>
                <w:sz w:val="18"/>
                <w:szCs w:val="18"/>
              </w:rPr>
              <w:t>社区/企事业单位/村公示栏（电子屏）</w:t>
            </w:r>
          </w:p>
          <w:p>
            <w:pPr>
              <w:overflowPunct w:val="0"/>
              <w:spacing w:line="220" w:lineRule="exact"/>
              <w:rPr>
                <w:rFonts w:hint="eastAsia" w:ascii="方正仿宋_GBK"/>
                <w:color w:val="000000"/>
                <w:sz w:val="18"/>
                <w:szCs w:val="18"/>
              </w:rPr>
            </w:pP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441" w:type="dxa"/>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15</w:t>
            </w:r>
          </w:p>
        </w:tc>
        <w:tc>
          <w:tcPr>
            <w:tcW w:w="437" w:type="dxa"/>
            <w:vMerge w:val="restart"/>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回应关切</w:t>
            </w:r>
          </w:p>
        </w:tc>
        <w:tc>
          <w:tcPr>
            <w:tcW w:w="588"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舆情收集热点及关键问题回应</w:t>
            </w: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舆情收集回应</w:t>
            </w:r>
          </w:p>
        </w:tc>
        <w:tc>
          <w:tcPr>
            <w:tcW w:w="130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接受投诉、咨询、建议等联系电话、通信地址等</w:t>
            </w:r>
          </w:p>
        </w:tc>
        <w:tc>
          <w:tcPr>
            <w:tcW w:w="2547" w:type="dxa"/>
            <w:vMerge w:val="restart"/>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《政府信息公开条例》</w:t>
            </w:r>
            <w:r>
              <w:rPr>
                <w:rFonts w:hint="eastAsia" w:ascii="方正仿宋_GBK"/>
                <w:color w:val="000000"/>
                <w:sz w:val="18"/>
                <w:szCs w:val="18"/>
              </w:rPr>
              <w:br w:type="textWrapping"/>
            </w:r>
            <w:r>
              <w:rPr>
                <w:rFonts w:hint="eastAsia" w:ascii="方正仿宋_GBK"/>
                <w:color w:val="000000"/>
                <w:sz w:val="18"/>
                <w:szCs w:val="18"/>
              </w:rPr>
              <w:t>《中共中央办公厅国务院办公厅印发〈关于全面推进政务公开工作的意见〉的通知》</w:t>
            </w:r>
            <w:r>
              <w:rPr>
                <w:rFonts w:hint="eastAsia" w:ascii="方正仿宋_GBK"/>
                <w:color w:val="000000"/>
                <w:sz w:val="18"/>
                <w:szCs w:val="18"/>
              </w:rPr>
              <w:br w:type="textWrapping"/>
            </w:r>
            <w:r>
              <w:rPr>
                <w:rFonts w:hint="eastAsia" w:ascii="方正仿宋_GBK"/>
                <w:color w:val="000000"/>
                <w:sz w:val="18"/>
                <w:szCs w:val="18"/>
              </w:rPr>
              <w:t>《国务院办公厅印发〈关于全面推进政务公开工作的意见〉实施细则的通知》</w:t>
            </w:r>
            <w:r>
              <w:rPr>
                <w:rFonts w:hint="eastAsia" w:ascii="方正仿宋_GBK"/>
                <w:color w:val="000000"/>
                <w:sz w:val="18"/>
                <w:szCs w:val="18"/>
              </w:rPr>
              <w:br w:type="textWrapping"/>
            </w:r>
            <w:r>
              <w:rPr>
                <w:rFonts w:hint="eastAsia" w:ascii="方正仿宋_GBK"/>
                <w:color w:val="000000"/>
                <w:sz w:val="18"/>
                <w:szCs w:val="18"/>
              </w:rPr>
              <w:t>《住房城乡建设部办公厅关于印发保障性住房等基层政务公开标准目录的通知》</w:t>
            </w: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信息形成之日起20个工作日内</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exact"/>
        </w:trPr>
        <w:tc>
          <w:tcPr>
            <w:tcW w:w="441" w:type="dxa"/>
            <w:shd w:val="clear" w:color="000000" w:fill="FFFFFF"/>
            <w:noWrap w:val="0"/>
            <w:vAlign w:val="center"/>
          </w:tcPr>
          <w:p>
            <w:pPr>
              <w:overflowPunct w:val="0"/>
              <w:spacing w:line="220" w:lineRule="exact"/>
              <w:jc w:val="center"/>
              <w:rPr>
                <w:rFonts w:hint="eastAsia" w:ascii="方正仿宋_GBK"/>
                <w:color w:val="000000"/>
                <w:sz w:val="18"/>
                <w:szCs w:val="18"/>
              </w:rPr>
            </w:pPr>
            <w:r>
              <w:rPr>
                <w:rFonts w:hint="eastAsia" w:ascii="方正仿宋_GBK"/>
                <w:color w:val="000000"/>
                <w:sz w:val="18"/>
                <w:szCs w:val="18"/>
              </w:rPr>
              <w:t>16</w:t>
            </w:r>
          </w:p>
        </w:tc>
        <w:tc>
          <w:tcPr>
            <w:tcW w:w="437" w:type="dxa"/>
            <w:vMerge w:val="continue"/>
            <w:noWrap w:val="0"/>
            <w:vAlign w:val="center"/>
          </w:tcPr>
          <w:p>
            <w:pPr>
              <w:overflowPunct w:val="0"/>
              <w:spacing w:line="220" w:lineRule="exact"/>
              <w:jc w:val="center"/>
              <w:rPr>
                <w:rFonts w:hint="eastAsia" w:ascii="方正仿宋_GBK"/>
                <w:color w:val="000000"/>
                <w:sz w:val="18"/>
                <w:szCs w:val="18"/>
              </w:rPr>
            </w:pPr>
          </w:p>
        </w:tc>
        <w:tc>
          <w:tcPr>
            <w:tcW w:w="588" w:type="dxa"/>
            <w:vMerge w:val="continue"/>
            <w:noWrap w:val="0"/>
            <w:vAlign w:val="center"/>
          </w:tcPr>
          <w:p>
            <w:pPr>
              <w:overflowPunct w:val="0"/>
              <w:spacing w:line="220" w:lineRule="exact"/>
              <w:rPr>
                <w:rFonts w:hint="eastAsia" w:ascii="方正仿宋_GBK"/>
                <w:color w:val="000000"/>
                <w:sz w:val="18"/>
                <w:szCs w:val="18"/>
              </w:rPr>
            </w:pPr>
          </w:p>
        </w:tc>
        <w:tc>
          <w:tcPr>
            <w:tcW w:w="58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互动回应</w:t>
            </w:r>
          </w:p>
        </w:tc>
        <w:tc>
          <w:tcPr>
            <w:tcW w:w="130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涉及群众切身利益和舆论关注的焦点热点及关键问题等回应内容</w:t>
            </w:r>
          </w:p>
        </w:tc>
        <w:tc>
          <w:tcPr>
            <w:tcW w:w="2547" w:type="dxa"/>
            <w:vMerge w:val="continue"/>
            <w:noWrap w:val="0"/>
            <w:vAlign w:val="center"/>
          </w:tcPr>
          <w:p>
            <w:pPr>
              <w:overflowPunct w:val="0"/>
              <w:spacing w:line="220" w:lineRule="exact"/>
              <w:rPr>
                <w:rFonts w:hint="eastAsia" w:ascii="方正仿宋_GBK"/>
                <w:color w:val="000000"/>
                <w:sz w:val="18"/>
                <w:szCs w:val="18"/>
              </w:rPr>
            </w:pPr>
          </w:p>
        </w:tc>
        <w:tc>
          <w:tcPr>
            <w:tcW w:w="1121"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及时发布信息；对涉及重大舆情的，要快速反应，并根据工作进展情况，持续发布信息</w:t>
            </w:r>
          </w:p>
        </w:tc>
        <w:tc>
          <w:tcPr>
            <w:tcW w:w="1008"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县住房城乡建委、乡镇人民政府、村委会</w:t>
            </w:r>
          </w:p>
        </w:tc>
        <w:tc>
          <w:tcPr>
            <w:tcW w:w="2926"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■政府网站      □政府公报</w:t>
            </w:r>
            <w:r>
              <w:rPr>
                <w:rFonts w:hint="eastAsia" w:ascii="方正仿宋_GBK"/>
                <w:color w:val="000000"/>
                <w:sz w:val="18"/>
                <w:szCs w:val="18"/>
              </w:rPr>
              <w:br w:type="textWrapping"/>
            </w:r>
            <w:r>
              <w:rPr>
                <w:rFonts w:hint="eastAsia" w:ascii="方正仿宋_GBK"/>
                <w:color w:val="000000"/>
                <w:sz w:val="18"/>
                <w:szCs w:val="18"/>
              </w:rPr>
              <w:t>□两微一端      □发布会/听证会</w:t>
            </w:r>
            <w:r>
              <w:rPr>
                <w:rFonts w:hint="eastAsia" w:ascii="方正仿宋_GBK"/>
                <w:color w:val="000000"/>
                <w:sz w:val="18"/>
                <w:szCs w:val="18"/>
              </w:rPr>
              <w:br w:type="textWrapping"/>
            </w:r>
            <w:r>
              <w:rPr>
                <w:rFonts w:hint="eastAsia" w:ascii="方正仿宋_GBK"/>
                <w:color w:val="000000"/>
                <w:sz w:val="18"/>
                <w:szCs w:val="18"/>
              </w:rPr>
              <w:t>□广播电视      □纸质媒体</w:t>
            </w:r>
            <w:r>
              <w:rPr>
                <w:rFonts w:hint="eastAsia" w:ascii="方正仿宋_GBK"/>
                <w:color w:val="000000"/>
                <w:sz w:val="18"/>
                <w:szCs w:val="18"/>
              </w:rPr>
              <w:br w:type="textWrapping"/>
            </w:r>
            <w:r>
              <w:rPr>
                <w:rFonts w:hint="eastAsia" w:ascii="方正仿宋_GBK"/>
                <w:color w:val="000000"/>
                <w:sz w:val="18"/>
                <w:szCs w:val="18"/>
              </w:rPr>
              <w:t>□公开查阅点    □政务服务中心</w:t>
            </w:r>
            <w:r>
              <w:rPr>
                <w:rFonts w:hint="eastAsia" w:ascii="方正仿宋_GBK"/>
                <w:color w:val="000000"/>
                <w:sz w:val="18"/>
                <w:szCs w:val="18"/>
              </w:rPr>
              <w:br w:type="textWrapping"/>
            </w:r>
            <w:r>
              <w:rPr>
                <w:rFonts w:hint="eastAsia" w:ascii="方正仿宋_GBK"/>
                <w:color w:val="000000"/>
                <w:sz w:val="18"/>
                <w:szCs w:val="18"/>
              </w:rPr>
              <w:t>□便民服务站    □入户/现场</w:t>
            </w:r>
            <w:r>
              <w:rPr>
                <w:rFonts w:hint="eastAsia" w:ascii="方正仿宋_GBK"/>
                <w:color w:val="000000"/>
                <w:sz w:val="18"/>
                <w:szCs w:val="18"/>
              </w:rPr>
              <w:br w:type="textWrapping"/>
            </w:r>
            <w:r>
              <w:rPr>
                <w:rFonts w:hint="eastAsia" w:ascii="方正仿宋_GBK"/>
                <w:color w:val="000000"/>
                <w:sz w:val="18"/>
                <w:szCs w:val="18"/>
              </w:rPr>
              <w:t>□</w:t>
            </w:r>
            <w:r>
              <w:rPr>
                <w:rFonts w:hint="eastAsia" w:ascii="方正仿宋_GBK"/>
                <w:color w:val="000000"/>
                <w:spacing w:val="-12"/>
                <w:sz w:val="18"/>
                <w:szCs w:val="18"/>
              </w:rPr>
              <w:t>社区/企事业单位/村公示栏（电子屏）</w:t>
            </w:r>
            <w:r>
              <w:rPr>
                <w:rFonts w:hint="eastAsia" w:ascii="方正仿宋_GBK"/>
                <w:color w:val="000000"/>
                <w:spacing w:val="-12"/>
                <w:sz w:val="18"/>
                <w:szCs w:val="18"/>
              </w:rPr>
              <w:br w:type="textWrapping"/>
            </w:r>
            <w:r>
              <w:rPr>
                <w:rFonts w:hint="eastAsia" w:ascii="方正仿宋_GBK"/>
                <w:color w:val="000000"/>
                <w:sz w:val="18"/>
                <w:szCs w:val="18"/>
              </w:rPr>
              <w:t>□精准推送      □其他_</w:t>
            </w: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419" w:type="dxa"/>
            <w:noWrap w:val="0"/>
            <w:vAlign w:val="center"/>
          </w:tcPr>
          <w:p>
            <w:pPr>
              <w:overflowPunct w:val="0"/>
              <w:spacing w:line="220" w:lineRule="exact"/>
              <w:rPr>
                <w:rFonts w:hint="eastAsia" w:ascii="方正仿宋_GBK"/>
                <w:color w:val="000000"/>
                <w:sz w:val="18"/>
                <w:szCs w:val="18"/>
              </w:rPr>
            </w:pP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p>
        </w:tc>
        <w:tc>
          <w:tcPr>
            <w:tcW w:w="392"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c>
          <w:tcPr>
            <w:tcW w:w="364" w:type="dxa"/>
            <w:noWrap w:val="0"/>
            <w:vAlign w:val="center"/>
          </w:tcPr>
          <w:p>
            <w:pPr>
              <w:overflowPunct w:val="0"/>
              <w:spacing w:line="220" w:lineRule="exact"/>
              <w:rPr>
                <w:rFonts w:hint="eastAsia" w:ascii="方正仿宋_GBK"/>
                <w:color w:val="000000"/>
                <w:sz w:val="18"/>
                <w:szCs w:val="18"/>
              </w:rPr>
            </w:pPr>
            <w:r>
              <w:rPr>
                <w:rFonts w:hint="eastAsia" w:ascii="方正仿宋_GBK"/>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YWJkZThiNTJhZDM0MjZiMzI3ZWU5ZmY2M2JjY2QifQ=="/>
  </w:docVars>
  <w:rsids>
    <w:rsidRoot w:val="108B16FE"/>
    <w:rsid w:val="098506D6"/>
    <w:rsid w:val="108B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2023-11-13T02:49:00Z</dcterms:created>
  <dc:creator>宴福不浅</dc:creator>
  <cp:lastModifiedBy>宴福不浅</cp:lastModifiedBy>
  <dcterms:modified xsi:type="dcterms:W3CDTF">2023-11-13T03:11:55Z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1F60560379F140D68FEE59449388238C_11</vt:lpwstr>
  </property>
</Properties>
</file>