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95" w:rsidRDefault="00F63495">
      <w:pPr>
        <w:spacing w:line="550" w:lineRule="exact"/>
        <w:jc w:val="center"/>
        <w:rPr>
          <w:rFonts w:ascii="Times New Roman" w:eastAsia="方正小标宋_GBK" w:hAnsi="Times New Roman" w:cs="Times New Roman"/>
          <w:sz w:val="44"/>
          <w:szCs w:val="20"/>
        </w:rPr>
      </w:pPr>
    </w:p>
    <w:p w:rsidR="00F63495" w:rsidRDefault="00F63495">
      <w:pPr>
        <w:spacing w:line="550" w:lineRule="exact"/>
        <w:jc w:val="center"/>
        <w:rPr>
          <w:rFonts w:ascii="Times New Roman" w:eastAsia="方正小标宋_GBK" w:hAnsi="Times New Roman" w:cs="Times New Roman"/>
          <w:sz w:val="44"/>
          <w:szCs w:val="20"/>
        </w:rPr>
      </w:pPr>
    </w:p>
    <w:p w:rsidR="00F63495" w:rsidRDefault="00652094">
      <w:pPr>
        <w:spacing w:line="578" w:lineRule="exact"/>
        <w:jc w:val="center"/>
        <w:rPr>
          <w:rFonts w:eastAsia="方正小标宋_GBK"/>
          <w:sz w:val="44"/>
          <w:szCs w:val="44"/>
        </w:rPr>
      </w:pPr>
      <w:r>
        <w:rPr>
          <w:rFonts w:eastAsia="方正小标宋_GBK" w:hint="eastAsia"/>
          <w:sz w:val="44"/>
          <w:szCs w:val="44"/>
        </w:rPr>
        <w:t>重庆市财政局关于印发《重庆市政府集中采购目录及采购限额标准》的通知</w:t>
      </w:r>
    </w:p>
    <w:p w:rsidR="00F63495" w:rsidRDefault="00652094">
      <w:pPr>
        <w:spacing w:line="600" w:lineRule="atLeast"/>
        <w:jc w:val="center"/>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渝财</w:t>
      </w:r>
      <w:proofErr w:type="gramStart"/>
      <w:r>
        <w:rPr>
          <w:rFonts w:ascii="Times New Roman" w:eastAsia="方正仿宋_GBK" w:hAnsi="Times New Roman" w:cs="Times New Roman" w:hint="eastAsia"/>
          <w:sz w:val="32"/>
          <w:szCs w:val="20"/>
        </w:rPr>
        <w:t>规</w:t>
      </w:r>
      <w:proofErr w:type="gramEnd"/>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20"/>
        </w:rPr>
        <w:t>号</w:t>
      </w:r>
    </w:p>
    <w:p w:rsidR="00F63495" w:rsidRPr="000B5BAC" w:rsidRDefault="00F63495">
      <w:pPr>
        <w:spacing w:line="578" w:lineRule="exact"/>
        <w:rPr>
          <w:rFonts w:eastAsia="方正小标宋_GBK"/>
          <w:sz w:val="44"/>
          <w:szCs w:val="44"/>
        </w:rPr>
      </w:pPr>
    </w:p>
    <w:p w:rsidR="00F63495" w:rsidRDefault="00652094">
      <w:pPr>
        <w:spacing w:line="578" w:lineRule="exact"/>
        <w:rPr>
          <w:rFonts w:ascii="方正仿宋_GBK" w:eastAsia="方正仿宋_GBK" w:hAnsi="方正仿宋_GBK" w:cs="方正仿宋_GBK"/>
          <w:sz w:val="32"/>
          <w:szCs w:val="32"/>
        </w:rPr>
      </w:pPr>
      <w:bookmarkStart w:id="0" w:name="正文文件"/>
      <w:bookmarkEnd w:id="0"/>
      <w:r>
        <w:rPr>
          <w:rFonts w:ascii="方正仿宋_GBK" w:eastAsia="方正仿宋_GBK" w:hAnsi="方正仿宋_GBK" w:cs="方正仿宋_GBK" w:hint="eastAsia"/>
          <w:sz w:val="32"/>
          <w:szCs w:val="32"/>
        </w:rPr>
        <w:t>各区县（自治县）财政局，两江新区、西部科学城重庆高新区、万盛经开区财政局，市级各部门（单位），各政府采购代理机构：</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贯彻落实《深化政府采购制度改革方案》有关要求，按照财政部《地方预算单位政府集中采购目录及标准指引（2020年版）》（以下简称《目录及标准指引》）规定，经市政府同意，现将《重庆市政府集中采购目录及限额标准》（以下简称《集采目录及限额标准》）印发你们，并将有关事项通知如下，请遵照执行。</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按照《中华人民共和国政府采购法》规定，各级国家机关、事业单位和团体组织使用财政性资金采购依法制定的集中采购目录以内的或者采购限额标准以上的货物、工程和服务，属于政府采购范围，必须执行政府采购制度。</w:t>
      </w:r>
    </w:p>
    <w:p w:rsidR="00F63495" w:rsidRDefault="00652094">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二、政府采购应当有助于实现国家的经济和社会发展政策目标，包括扶持本国产品采购、促进中小企业发展、优先采购节能环保产品、优先采购符合国家网络安全标准的无线局域网产品、</w:t>
      </w:r>
      <w:r>
        <w:rPr>
          <w:rFonts w:ascii="方正仿宋_GBK" w:eastAsia="方正仿宋_GBK" w:hAnsi="方正仿宋_GBK" w:cs="方正仿宋_GBK" w:hint="eastAsia"/>
          <w:sz w:val="32"/>
          <w:szCs w:val="32"/>
        </w:rPr>
        <w:lastRenderedPageBreak/>
        <w:t>扶持监狱企业、残疾人福利性单位、支持乡村振兴、支持创新产品和服务等。对属于上述范围内的产品，采购人应按国家有关规定进行优先或强制采购。</w:t>
      </w:r>
    </w:p>
    <w:p w:rsidR="00F63495" w:rsidRDefault="00652094">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三、涉密项目采购严格按照《涉密政府采购管理暂行办法》（财库〔2019〕39号）相关规定执行，如有变动，则按最新规定执行。</w:t>
      </w:r>
    </w:p>
    <w:p w:rsidR="00F63495" w:rsidRDefault="00652094">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四、《集采目录及限额标准》实行全市统一管理，执行市、区（自治县）统一的集中采购目录范围、采购限额标准及公开招标数额标准。</w:t>
      </w:r>
    </w:p>
    <w:p w:rsidR="00F63495" w:rsidRDefault="00652094">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五、本通知自2024年1月1日起执行，《重庆市财政局关于印发重庆市政府集中采购目录及采购限额标准的通知》（渝财</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〔2020〕14号）同步废止。执行过程中，相关品目、采购执行方式、限额标准等内容因政策制度变化等原因需要调整的，市财政局按照相关规定进行调整。如无变化，往后年度按此通知要求继续执行。</w:t>
      </w:r>
    </w:p>
    <w:p w:rsidR="00F63495" w:rsidRDefault="00F63495">
      <w:pPr>
        <w:spacing w:line="578" w:lineRule="exact"/>
        <w:ind w:firstLineChars="200" w:firstLine="640"/>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652094">
      <w:pPr>
        <w:spacing w:line="578" w:lineRule="exact"/>
        <w:ind w:firstLineChars="1736" w:firstLine="555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重庆市财政局</w:t>
      </w:r>
    </w:p>
    <w:p w:rsidR="00F63495" w:rsidRDefault="00652094">
      <w:pPr>
        <w:spacing w:line="578" w:lineRule="exact"/>
        <w:ind w:firstLineChars="1631" w:firstLine="5219"/>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2023年12月21日</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（此件主动公开）</w:t>
      </w:r>
    </w:p>
    <w:p w:rsidR="00F63495" w:rsidRDefault="00652094">
      <w:pPr>
        <w:spacing w:line="578" w:lineRule="exact"/>
        <w:jc w:val="center"/>
        <w:rPr>
          <w:rFonts w:ascii="方正仿宋_GBK" w:eastAsia="方正仿宋_GBK" w:hAnsi="方正仿宋_GBK" w:cs="方正仿宋_GBK"/>
          <w:sz w:val="32"/>
          <w:szCs w:val="32"/>
        </w:rPr>
      </w:pPr>
      <w:bookmarkStart w:id="1" w:name="_GoBack"/>
      <w:bookmarkEnd w:id="1"/>
      <w:r>
        <w:rPr>
          <w:rFonts w:ascii="方正小标宋_GBK" w:eastAsia="方正小标宋_GBK" w:hAnsi="方正小标宋_GBK" w:cs="方正小标宋_GBK" w:hint="eastAsia"/>
          <w:sz w:val="44"/>
          <w:szCs w:val="44"/>
        </w:rPr>
        <w:lastRenderedPageBreak/>
        <w:t>重庆市政府集中采购目录及采购限额标准</w:t>
      </w:r>
    </w:p>
    <w:p w:rsidR="00F63495" w:rsidRDefault="00F63495">
      <w:pPr>
        <w:spacing w:line="578" w:lineRule="exact"/>
        <w:ind w:firstLineChars="200" w:firstLine="640"/>
        <w:rPr>
          <w:rFonts w:ascii="方正仿宋_GBK" w:eastAsia="方正仿宋_GBK" w:hAnsi="方正仿宋_GBK" w:cs="方正仿宋_GBK"/>
          <w:sz w:val="32"/>
          <w:szCs w:val="32"/>
        </w:rPr>
      </w:pP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中华人民共和国政府采购法》《中华人民共和国政府采购法实施条例》《政府采购品目分类目录》《地方预算单位政府集中采购目录及标准指引（2020年版）》，结合重庆市具体情况，现制定重庆市政府集中采购目录及采购限额标准如下：</w:t>
      </w:r>
    </w:p>
    <w:p w:rsidR="00F63495" w:rsidRDefault="00652094">
      <w:pPr>
        <w:spacing w:line="578"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一、集中采购机构采购项目</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列入政府集中采购目录，</w:t>
      </w:r>
      <w:proofErr w:type="gramStart"/>
      <w:r>
        <w:rPr>
          <w:rFonts w:ascii="方正仿宋_GBK" w:eastAsia="方正仿宋_GBK" w:hAnsi="方正仿宋_GBK" w:cs="方正仿宋_GBK" w:hint="eastAsia"/>
          <w:sz w:val="32"/>
          <w:szCs w:val="32"/>
        </w:rPr>
        <w:t>且单次</w:t>
      </w:r>
      <w:proofErr w:type="gramEnd"/>
      <w:r>
        <w:rPr>
          <w:rFonts w:ascii="方正仿宋_GBK" w:eastAsia="方正仿宋_GBK" w:hAnsi="方正仿宋_GBK" w:cs="方正仿宋_GBK" w:hint="eastAsia"/>
          <w:sz w:val="32"/>
          <w:szCs w:val="32"/>
        </w:rPr>
        <w:t>采购金额50万元及以上的项目属于集中采购范围，应委托集中采购机构代理采购。</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规范实施框架协议，集采目录以内的品目，以及与之配套的必要耗材、配件等，属于小额零星采购的，原则上实行全市统一框架协议采购，由市政府采购中心作为征集人统一负责全市征集程序和订立框架协议。实行框架协议的具体品目由市政府采购中心根据实际工作需求拟定采购方案，报市财政局审核后实施。</w:t>
      </w:r>
    </w:p>
    <w:p w:rsidR="00F63495" w:rsidRDefault="00652094" w:rsidP="000B5BAC">
      <w:pPr>
        <w:spacing w:afterLines="50" w:line="578"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重庆市政府集中采购目录</w:t>
      </w:r>
    </w:p>
    <w:tbl>
      <w:tblPr>
        <w:tblW w:w="9110" w:type="dxa"/>
        <w:jc w:val="center"/>
        <w:tblLook w:val="04A0"/>
      </w:tblPr>
      <w:tblGrid>
        <w:gridCol w:w="1364"/>
        <w:gridCol w:w="2573"/>
        <w:gridCol w:w="633"/>
        <w:gridCol w:w="2446"/>
        <w:gridCol w:w="2094"/>
      </w:tblGrid>
      <w:tr w:rsidR="00F63495">
        <w:trPr>
          <w:trHeight w:val="340"/>
          <w:tblHeader/>
          <w:jc w:val="center"/>
        </w:trPr>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序号</w:t>
            </w:r>
          </w:p>
        </w:tc>
        <w:tc>
          <w:tcPr>
            <w:tcW w:w="2573" w:type="dxa"/>
            <w:tcBorders>
              <w:top w:val="single" w:sz="4" w:space="0" w:color="auto"/>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品目</w:t>
            </w:r>
          </w:p>
        </w:tc>
        <w:tc>
          <w:tcPr>
            <w:tcW w:w="3079" w:type="dxa"/>
            <w:gridSpan w:val="2"/>
            <w:tcBorders>
              <w:top w:val="single" w:sz="4" w:space="0" w:color="auto"/>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编码</w:t>
            </w:r>
          </w:p>
        </w:tc>
        <w:tc>
          <w:tcPr>
            <w:tcW w:w="2094" w:type="dxa"/>
            <w:tcBorders>
              <w:top w:val="single" w:sz="4" w:space="0" w:color="auto"/>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备注</w:t>
            </w:r>
          </w:p>
        </w:tc>
      </w:tr>
      <w:tr w:rsidR="00F63495">
        <w:trPr>
          <w:trHeight w:val="340"/>
          <w:jc w:val="center"/>
        </w:trPr>
        <w:tc>
          <w:tcPr>
            <w:tcW w:w="70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 货物类</w:t>
            </w:r>
          </w:p>
        </w:tc>
        <w:tc>
          <w:tcPr>
            <w:tcW w:w="2094" w:type="dxa"/>
            <w:tcBorders>
              <w:top w:val="nil"/>
              <w:left w:val="nil"/>
              <w:bottom w:val="single" w:sz="4" w:space="0" w:color="auto"/>
              <w:right w:val="single" w:sz="4" w:space="0" w:color="auto"/>
            </w:tcBorders>
            <w:shd w:val="clear" w:color="auto" w:fill="auto"/>
            <w:noWrap/>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服务器</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A02010104</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台式计算机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A02010105</w:t>
            </w:r>
          </w:p>
        </w:tc>
        <w:tc>
          <w:tcPr>
            <w:tcW w:w="2094" w:type="dxa"/>
            <w:tcBorders>
              <w:top w:val="nil"/>
              <w:left w:val="nil"/>
              <w:bottom w:val="single" w:sz="4" w:space="0" w:color="auto"/>
              <w:right w:val="single" w:sz="4" w:space="0" w:color="auto"/>
            </w:tcBorders>
            <w:shd w:val="clear" w:color="auto" w:fill="auto"/>
            <w:vAlign w:val="center"/>
          </w:tcPr>
          <w:p w:rsidR="00F63495" w:rsidRDefault="00F63495">
            <w:pPr>
              <w:widowControl/>
              <w:spacing w:line="280" w:lineRule="exact"/>
              <w:jc w:val="center"/>
              <w:rPr>
                <w:rFonts w:ascii="方正仿宋_GBK" w:eastAsia="方正仿宋_GBK" w:hAnsi="方正仿宋_GBK" w:cs="方正仿宋_GBK"/>
                <w:kern w:val="0"/>
                <w:sz w:val="24"/>
              </w:rPr>
            </w:pP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便携式计算机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A02010108</w:t>
            </w:r>
          </w:p>
        </w:tc>
        <w:tc>
          <w:tcPr>
            <w:tcW w:w="2094" w:type="dxa"/>
            <w:tcBorders>
              <w:top w:val="nil"/>
              <w:left w:val="nil"/>
              <w:bottom w:val="single" w:sz="4" w:space="0" w:color="auto"/>
              <w:right w:val="single" w:sz="4" w:space="0" w:color="auto"/>
            </w:tcBorders>
            <w:shd w:val="clear" w:color="auto" w:fill="auto"/>
            <w:vAlign w:val="center"/>
          </w:tcPr>
          <w:p w:rsidR="00F63495" w:rsidRDefault="00F63495">
            <w:pPr>
              <w:widowControl/>
              <w:spacing w:line="280" w:lineRule="exact"/>
              <w:jc w:val="center"/>
              <w:rPr>
                <w:rFonts w:ascii="方正仿宋_GBK" w:eastAsia="方正仿宋_GBK" w:hAnsi="方正仿宋_GBK" w:cs="方正仿宋_GBK"/>
                <w:kern w:val="0"/>
                <w:sz w:val="24"/>
              </w:rPr>
            </w:pP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4</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复印机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A02020100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5</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投影仪</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A02020200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6</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多功能一体机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A02020400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7</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触控一体机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A02020800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lastRenderedPageBreak/>
              <w:t>8</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A3黑白打印机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A02021001</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9</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A3彩色打印机 </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A02021002</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10</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A4黑白打印机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A02021003</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11</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A4彩色打印机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A02021004</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12</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3D打印机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A02021005</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13</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票据打印机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A02021006</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14</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条码打印机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A02021007</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15</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地址打印机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A02021008</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16</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其他打印机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A02021099</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17</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LED 显示屏</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A02021103</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18</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液晶显示器</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A02021104</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19</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扫描仪</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A02021118</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20</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碎纸机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A02021301</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21</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乘用车</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A02030500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22</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电梯</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A02051227</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23</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不间断电源（UPS）</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A02061504</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24</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空调机</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A02061804</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25</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家具</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A05010000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26</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用具</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A05020000</w:t>
            </w:r>
          </w:p>
        </w:tc>
        <w:tc>
          <w:tcPr>
            <w:tcW w:w="2094" w:type="dxa"/>
            <w:tcBorders>
              <w:top w:val="nil"/>
              <w:left w:val="nil"/>
              <w:bottom w:val="single" w:sz="4" w:space="0" w:color="auto"/>
              <w:right w:val="single" w:sz="4" w:space="0" w:color="auto"/>
            </w:tcBorders>
            <w:shd w:val="clear" w:color="auto" w:fill="auto"/>
            <w:noWrap/>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27</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复印纸</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A05040101</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28</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基础软件</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A08060301</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4205"/>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29</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支撑软件</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A08060302</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该品目中的信息安全软件为集采目录，包括基础和平台类安全软件、数据安全软件、网络与边界安全软件、专用安全软件、安全测试评估软件、安全应用软件、安全支撑软件、安全管理软件、其他信息安全软件</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30</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应用软件 </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A08060303</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该品目中的信息</w:t>
            </w:r>
            <w:r>
              <w:rPr>
                <w:rFonts w:ascii="方正仿宋_GBK" w:eastAsia="方正仿宋_GBK" w:hAnsi="方正仿宋_GBK" w:cs="方正仿宋_GBK" w:hint="eastAsia"/>
                <w:kern w:val="0"/>
                <w:sz w:val="24"/>
              </w:rPr>
              <w:lastRenderedPageBreak/>
              <w:t>安全软件为集采目录，包括基础和平台类安全软件、数据安全软件、网络与边界安全软件、专用安全软件、安全测试评估软件、安全应用软件、安全支撑软件、安全管理软件、其他信息安全软件</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lastRenderedPageBreak/>
              <w:t>31</w:t>
            </w:r>
          </w:p>
        </w:tc>
        <w:tc>
          <w:tcPr>
            <w:tcW w:w="2573"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其他计算机软件</w:t>
            </w:r>
          </w:p>
        </w:tc>
        <w:tc>
          <w:tcPr>
            <w:tcW w:w="3079"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A08060399</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该品目中的信息安全软件为集采目录，包括基础和平台类安全软件、数据安全软件、网络与边界安全软件、专用安全软件、安全测试评估软件、安全应用软件、安全支撑软件、安全管理软件、其他信息安全软件</w:t>
            </w:r>
          </w:p>
        </w:tc>
      </w:tr>
      <w:tr w:rsidR="00F63495">
        <w:trPr>
          <w:trHeight w:val="340"/>
          <w:jc w:val="center"/>
        </w:trPr>
        <w:tc>
          <w:tcPr>
            <w:tcW w:w="7016" w:type="dxa"/>
            <w:gridSpan w:val="4"/>
            <w:tcBorders>
              <w:top w:val="single" w:sz="4" w:space="0" w:color="auto"/>
              <w:left w:val="single" w:sz="4" w:space="0" w:color="auto"/>
              <w:bottom w:val="single" w:sz="4" w:space="0" w:color="auto"/>
              <w:right w:val="nil"/>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 服务类</w:t>
            </w:r>
          </w:p>
        </w:tc>
        <w:tc>
          <w:tcPr>
            <w:tcW w:w="2094" w:type="dxa"/>
            <w:tcBorders>
              <w:top w:val="nil"/>
              <w:left w:val="single" w:sz="4" w:space="0" w:color="auto"/>
              <w:bottom w:val="single" w:sz="4" w:space="0" w:color="auto"/>
              <w:right w:val="single" w:sz="4" w:space="0" w:color="auto"/>
            </w:tcBorders>
            <w:shd w:val="clear" w:color="auto" w:fill="auto"/>
            <w:noWrap/>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32</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proofErr w:type="gramStart"/>
            <w:r>
              <w:rPr>
                <w:rFonts w:ascii="方正仿宋_GBK" w:eastAsia="方正仿宋_GBK" w:hAnsi="方正仿宋_GBK" w:cs="方正仿宋_GBK" w:hint="eastAsia"/>
                <w:kern w:val="0"/>
                <w:sz w:val="24"/>
              </w:rPr>
              <w:t>云计算</w:t>
            </w:r>
            <w:proofErr w:type="gramEnd"/>
            <w:r>
              <w:rPr>
                <w:rFonts w:ascii="方正仿宋_GBK" w:eastAsia="方正仿宋_GBK" w:hAnsi="方正仿宋_GBK" w:cs="方正仿宋_GBK" w:hint="eastAsia"/>
                <w:kern w:val="0"/>
                <w:sz w:val="24"/>
              </w:rPr>
              <w:t>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C16040000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33</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网络接入服务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C17010200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34</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财产保险服务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C18040102</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财产保险服务中的机动车保险服务为集采目录</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35</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物业管理服务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C21040000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36</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印刷服务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C23090100</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37</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车辆维修和保养服务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C23120301</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F63495">
        <w:trPr>
          <w:trHeight w:val="340"/>
          <w:jc w:val="center"/>
        </w:trPr>
        <w:tc>
          <w:tcPr>
            <w:tcW w:w="1364" w:type="dxa"/>
            <w:tcBorders>
              <w:top w:val="nil"/>
              <w:left w:val="single" w:sz="4" w:space="0" w:color="auto"/>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38</w:t>
            </w:r>
          </w:p>
        </w:tc>
        <w:tc>
          <w:tcPr>
            <w:tcW w:w="3206" w:type="dxa"/>
            <w:gridSpan w:val="2"/>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车辆加油、添加燃料服务</w:t>
            </w:r>
          </w:p>
        </w:tc>
        <w:tc>
          <w:tcPr>
            <w:tcW w:w="2446"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C23120302</w:t>
            </w:r>
          </w:p>
        </w:tc>
        <w:tc>
          <w:tcPr>
            <w:tcW w:w="2094" w:type="dxa"/>
            <w:tcBorders>
              <w:top w:val="nil"/>
              <w:left w:val="nil"/>
              <w:bottom w:val="single" w:sz="4" w:space="0" w:color="auto"/>
              <w:right w:val="single" w:sz="4" w:space="0" w:color="auto"/>
            </w:tcBorders>
            <w:shd w:val="clear" w:color="auto" w:fill="auto"/>
            <w:vAlign w:val="center"/>
          </w:tcPr>
          <w:p w:rsidR="00F63495" w:rsidRDefault="00652094">
            <w:pPr>
              <w:widowControl/>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bl>
    <w:p w:rsidR="00F63495" w:rsidRDefault="00652094">
      <w:pPr>
        <w:spacing w:line="32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注：</w:t>
      </w:r>
    </w:p>
    <w:p w:rsidR="00F63495" w:rsidRDefault="00652094">
      <w:pPr>
        <w:spacing w:line="32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1、表中所列品目不包括高校、科研机构所采购的科研仪器设备。</w:t>
      </w:r>
    </w:p>
    <w:p w:rsidR="00F63495" w:rsidRDefault="00652094">
      <w:pPr>
        <w:spacing w:line="578"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2、本目录的“编码”、“品目”名称对照财政部《政府采购品目分类目录》（财库</w:t>
      </w:r>
      <w:r>
        <w:rPr>
          <w:rFonts w:ascii="方正仿宋_GBK" w:eastAsia="方正仿宋_GBK" w:hAnsi="方正仿宋_GBK" w:cs="方正仿宋_GBK" w:hint="eastAsia"/>
          <w:sz w:val="24"/>
        </w:rPr>
        <w:lastRenderedPageBreak/>
        <w:t>〔2022〕</w:t>
      </w:r>
      <w:r w:rsidR="00A53159">
        <w:rPr>
          <w:rFonts w:ascii="方正仿宋_GBK" w:eastAsia="方正仿宋_GBK" w:hAnsi="方正仿宋_GBK" w:cs="方正仿宋_GBK"/>
          <w:sz w:val="24"/>
        </w:rPr>
        <w:t>3</w:t>
      </w:r>
      <w:r>
        <w:rPr>
          <w:rFonts w:ascii="方正仿宋_GBK" w:eastAsia="方正仿宋_GBK" w:hAnsi="方正仿宋_GBK" w:cs="方正仿宋_GBK" w:hint="eastAsia"/>
          <w:sz w:val="24"/>
        </w:rPr>
        <w:t>1号）、《地方预算单位政府集中采购目录及标准指引（2020年版）》中的“编码”、“品目名称”进行调整后制定。</w:t>
      </w:r>
    </w:p>
    <w:p w:rsidR="00F63495" w:rsidRDefault="00652094">
      <w:pPr>
        <w:spacing w:line="578"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二、部门集中采购项目</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部门集中采购项目是指本部门、本系统基于业务需要有特殊要求，可以统一采购的项目。市财政局不再统一确定部门集中采购项目，由各主管预算单位按照财政部印发的《政府采购品目分类目录》，结合自身行业特点，自行确定本部门的部门集中采购项目，报市财政局备案后组织实施采购。</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列入部门集中采购项目，</w:t>
      </w:r>
      <w:proofErr w:type="gramStart"/>
      <w:r>
        <w:rPr>
          <w:rFonts w:ascii="方正仿宋_GBK" w:eastAsia="方正仿宋_GBK" w:hAnsi="方正仿宋_GBK" w:cs="方正仿宋_GBK" w:hint="eastAsia"/>
          <w:sz w:val="32"/>
          <w:szCs w:val="32"/>
        </w:rPr>
        <w:t>且单次</w:t>
      </w:r>
      <w:proofErr w:type="gramEnd"/>
      <w:r>
        <w:rPr>
          <w:rFonts w:ascii="方正仿宋_GBK" w:eastAsia="方正仿宋_GBK" w:hAnsi="方正仿宋_GBK" w:cs="方正仿宋_GBK" w:hint="eastAsia"/>
          <w:sz w:val="32"/>
          <w:szCs w:val="32"/>
        </w:rPr>
        <w:t>采购金额50万元及以上的货物和服务类项目，单次采购金额100万元及以上的工程类项目，属于部门集中采购范围，可由部门集中采购单位自行组织采购，或委托采购代理机构代理采购。</w:t>
      </w:r>
    </w:p>
    <w:p w:rsidR="00F63495" w:rsidRDefault="00652094">
      <w:pPr>
        <w:spacing w:line="578"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三、分散采购限额标准</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集中采购目录以外，</w:t>
      </w:r>
      <w:proofErr w:type="gramStart"/>
      <w:r>
        <w:rPr>
          <w:rFonts w:ascii="方正仿宋_GBK" w:eastAsia="方正仿宋_GBK" w:hAnsi="方正仿宋_GBK" w:cs="方正仿宋_GBK" w:hint="eastAsia"/>
          <w:sz w:val="32"/>
          <w:szCs w:val="32"/>
        </w:rPr>
        <w:t>且单次</w:t>
      </w:r>
      <w:proofErr w:type="gramEnd"/>
      <w:r>
        <w:rPr>
          <w:rFonts w:ascii="方正仿宋_GBK" w:eastAsia="方正仿宋_GBK" w:hAnsi="方正仿宋_GBK" w:cs="方正仿宋_GBK" w:hint="eastAsia"/>
          <w:sz w:val="32"/>
          <w:szCs w:val="32"/>
        </w:rPr>
        <w:t>采购金额50万元及以上的货物和服务类项目，单次采购金额100万元及以上的工程类项目，采购人应按照《中华人民共和国政府采购法》及其实施条例等规定，实行分散采购。</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属于分散采购范围的采购项目，采购人可自行组织采购或者委托采购代理机构代理采购。</w:t>
      </w:r>
    </w:p>
    <w:p w:rsidR="00F63495" w:rsidRDefault="00652094">
      <w:pPr>
        <w:spacing w:line="578"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四、公开招标数额标准</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单次采购金额达到200万元及以上的货物和服务类采购项</w:t>
      </w:r>
      <w:r>
        <w:rPr>
          <w:rFonts w:ascii="方正仿宋_GBK" w:eastAsia="方正仿宋_GBK" w:hAnsi="方正仿宋_GBK" w:cs="方正仿宋_GBK" w:hint="eastAsia"/>
          <w:sz w:val="32"/>
          <w:szCs w:val="32"/>
        </w:rPr>
        <w:lastRenderedPageBreak/>
        <w:t>目应当采用公开招标方式采购。</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政府采购工程以及与工程建设有关的货物、服务公开招标数额标准按照国家有关规定执行，达到公开招标限额标准的，适用《中华人民共和国招标投标法》及其实施条例。</w:t>
      </w:r>
    </w:p>
    <w:p w:rsidR="00F63495" w:rsidRDefault="00652094">
      <w:pPr>
        <w:spacing w:line="578"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五、其他规定</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（一）集中采购目录以外，</w:t>
      </w:r>
      <w:proofErr w:type="gramStart"/>
      <w:r>
        <w:rPr>
          <w:rFonts w:ascii="方正仿宋_GBK" w:eastAsia="方正仿宋_GBK" w:hAnsi="方正仿宋_GBK" w:cs="方正仿宋_GBK" w:hint="eastAsia"/>
          <w:sz w:val="32"/>
          <w:szCs w:val="32"/>
        </w:rPr>
        <w:t>且单次</w:t>
      </w:r>
      <w:proofErr w:type="gramEnd"/>
      <w:r>
        <w:rPr>
          <w:rFonts w:ascii="方正仿宋_GBK" w:eastAsia="方正仿宋_GBK" w:hAnsi="方正仿宋_GBK" w:cs="方正仿宋_GBK" w:hint="eastAsia"/>
          <w:sz w:val="32"/>
          <w:szCs w:val="32"/>
        </w:rPr>
        <w:t>采购金额50万元以下的货物和服务类项目，单次采购金额100万元以下的工程类项目，不适用《中华人民共和国政府采购法》及其实施条例的有关规定，由采购人按照公开、公平、公正、高效廉洁的原则自行组织实施，并做好相关内控管理。</w:t>
      </w:r>
    </w:p>
    <w:p w:rsidR="00F63495" w:rsidRDefault="00652094">
      <w:pPr>
        <w:spacing w:line="578"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（二）采购人可以不受行政级次、地区限制，自主选择市级和各区县的集中采购机构代理采购项目。集中采购机构可以承接不同级次、不同地区采购人的代理业务，按法定程序组织开展政府采购活动。</w:t>
      </w: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p w:rsidR="00F63495" w:rsidRDefault="00F63495">
      <w:pPr>
        <w:spacing w:line="578" w:lineRule="exact"/>
        <w:rPr>
          <w:rFonts w:ascii="方正仿宋_GBK" w:eastAsia="方正仿宋_GBK" w:hAnsi="方正仿宋_GBK" w:cs="方正仿宋_GBK"/>
          <w:sz w:val="32"/>
          <w:szCs w:val="32"/>
        </w:rPr>
      </w:pPr>
    </w:p>
    <w:sectPr w:rsidR="00F63495" w:rsidSect="00CF1920">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962"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12B" w:rsidRDefault="004E512B">
      <w:r>
        <w:separator/>
      </w:r>
    </w:p>
  </w:endnote>
  <w:endnote w:type="continuationSeparator" w:id="1">
    <w:p w:rsidR="004E512B" w:rsidRDefault="004E5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52" w:rsidRDefault="007545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95" w:rsidRDefault="005140CC">
    <w:pPr>
      <w:pStyle w:val="a6"/>
      <w:ind w:leftChars="2280" w:left="4788" w:firstLineChars="2000" w:firstLine="6400"/>
      <w:rPr>
        <w:rFonts w:eastAsia="仿宋"/>
        <w:sz w:val="32"/>
        <w:szCs w:val="48"/>
      </w:rPr>
    </w:pPr>
    <w:r w:rsidRPr="005140CC">
      <w:rPr>
        <w:noProof/>
        <w:sz w:val="32"/>
      </w:rPr>
      <w:pict>
        <v:shapetype id="_x0000_t202" coordsize="21600,21600" o:spt="202" path="m,l,21600r21600,l21600,xe">
          <v:stroke joinstyle="miter"/>
          <v:path gradientshapeok="t" o:connecttype="rect"/>
        </v:shapetype>
        <v:shape id="文本框 8" o:spid="_x0000_s4098" type="#_x0000_t202" style="position:absolute;left:0;text-align:left;margin-left:300.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3495" w:rsidRDefault="005140CC">
                <w:pPr>
                  <w:pStyle w:val="a5"/>
                </w:pPr>
                <w:r>
                  <w:rPr>
                    <w:rFonts w:ascii="宋体" w:eastAsia="宋体" w:hAnsi="宋体" w:cs="宋体" w:hint="eastAsia"/>
                    <w:sz w:val="28"/>
                    <w:szCs w:val="28"/>
                  </w:rPr>
                  <w:fldChar w:fldCharType="begin"/>
                </w:r>
                <w:r w:rsidR="0065209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B5BA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652094">
      <w:rPr>
        <w:rFonts w:eastAsia="仿宋" w:hint="eastAsia"/>
        <w:sz w:val="32"/>
        <w:szCs w:val="48"/>
      </w:rPr>
      <w:t xml:space="preserve">  </w:t>
    </w:r>
  </w:p>
  <w:p w:rsidR="00F63495" w:rsidRDefault="00652094" w:rsidP="00496C19">
    <w:pPr>
      <w:pStyle w:val="a6"/>
      <w:wordWrap w:val="0"/>
      <w:ind w:leftChars="1803" w:left="3786" w:firstLineChars="2312" w:firstLine="6499"/>
      <w:jc w:val="righ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p>
  <w:p w:rsidR="00F63495" w:rsidRDefault="00F63495">
    <w:pPr>
      <w:pStyle w:val="a6"/>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52" w:rsidRDefault="007545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12B" w:rsidRDefault="004E512B">
      <w:r>
        <w:separator/>
      </w:r>
    </w:p>
  </w:footnote>
  <w:footnote w:type="continuationSeparator" w:id="1">
    <w:p w:rsidR="004E512B" w:rsidRDefault="004E5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52" w:rsidRDefault="007545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95" w:rsidRDefault="00F63495">
    <w:pPr>
      <w:pStyle w:val="a6"/>
      <w:textAlignment w:val="center"/>
      <w:rPr>
        <w:rFonts w:ascii="方正仿宋_GBK" w:eastAsia="方正仿宋_GBK" w:hAnsi="方正仿宋_GBK" w:cs="方正仿宋_GBK"/>
        <w:b/>
        <w:bCs/>
        <w:color w:val="000000"/>
        <w:sz w:val="32"/>
      </w:rPr>
    </w:pPr>
  </w:p>
  <w:p w:rsidR="00F63495" w:rsidRDefault="00F63495">
    <w:pPr>
      <w:pStyle w:val="a6"/>
      <w:textAlignment w:val="center"/>
      <w:rPr>
        <w:rFonts w:ascii="宋体" w:eastAsia="宋体" w:hAnsi="宋体" w:cs="宋体"/>
        <w:b/>
        <w:bCs/>
        <w:color w:val="005192"/>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52" w:rsidRDefault="0075455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0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jYmY0MjIxZTE1Mzk1NjMzMjFkZjQxOGVhZTIzNGQifQ=="/>
  </w:docVars>
  <w:rsids>
    <w:rsidRoot w:val="00172A27"/>
    <w:rsid w:val="F05B4F69"/>
    <w:rsid w:val="F97D9566"/>
    <w:rsid w:val="FDFF411C"/>
    <w:rsid w:val="0001734A"/>
    <w:rsid w:val="000374CD"/>
    <w:rsid w:val="000B5BAC"/>
    <w:rsid w:val="0011491C"/>
    <w:rsid w:val="00172A27"/>
    <w:rsid w:val="001B1863"/>
    <w:rsid w:val="00294238"/>
    <w:rsid w:val="0049430D"/>
    <w:rsid w:val="00496C19"/>
    <w:rsid w:val="004E512B"/>
    <w:rsid w:val="005140CC"/>
    <w:rsid w:val="00634972"/>
    <w:rsid w:val="00641A06"/>
    <w:rsid w:val="00652094"/>
    <w:rsid w:val="00687E85"/>
    <w:rsid w:val="006D2048"/>
    <w:rsid w:val="00754552"/>
    <w:rsid w:val="00820EF8"/>
    <w:rsid w:val="00821614"/>
    <w:rsid w:val="008449CD"/>
    <w:rsid w:val="009B75DA"/>
    <w:rsid w:val="00A53159"/>
    <w:rsid w:val="00A6446A"/>
    <w:rsid w:val="00CF1920"/>
    <w:rsid w:val="00D709D9"/>
    <w:rsid w:val="00DF1A25"/>
    <w:rsid w:val="00E27E21"/>
    <w:rsid w:val="00E6412E"/>
    <w:rsid w:val="00E71355"/>
    <w:rsid w:val="00F36C28"/>
    <w:rsid w:val="00F63495"/>
    <w:rsid w:val="00F9797F"/>
    <w:rsid w:val="00FB69E8"/>
    <w:rsid w:val="019E71BD"/>
    <w:rsid w:val="041C42DA"/>
    <w:rsid w:val="04B679C3"/>
    <w:rsid w:val="05F07036"/>
    <w:rsid w:val="06E00104"/>
    <w:rsid w:val="073E58E7"/>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1920"/>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CF1920"/>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F1920"/>
    <w:pPr>
      <w:jc w:val="left"/>
    </w:pPr>
  </w:style>
  <w:style w:type="paragraph" w:styleId="a4">
    <w:name w:val="Body Text Indent"/>
    <w:basedOn w:val="a"/>
    <w:link w:val="Char"/>
    <w:uiPriority w:val="99"/>
    <w:unhideWhenUsed/>
    <w:qFormat/>
    <w:rsid w:val="00CF1920"/>
    <w:pPr>
      <w:spacing w:after="120"/>
      <w:ind w:leftChars="200" w:left="420"/>
    </w:pPr>
    <w:rPr>
      <w:rFonts w:ascii="Calibri" w:eastAsia="宋体" w:hAnsi="Calibri" w:cs="宋体"/>
    </w:rPr>
  </w:style>
  <w:style w:type="paragraph" w:styleId="a5">
    <w:name w:val="footer"/>
    <w:basedOn w:val="a"/>
    <w:qFormat/>
    <w:rsid w:val="00CF1920"/>
    <w:pPr>
      <w:tabs>
        <w:tab w:val="center" w:pos="4153"/>
        <w:tab w:val="right" w:pos="8306"/>
      </w:tabs>
      <w:snapToGrid w:val="0"/>
      <w:jc w:val="left"/>
    </w:pPr>
    <w:rPr>
      <w:sz w:val="18"/>
    </w:rPr>
  </w:style>
  <w:style w:type="paragraph" w:styleId="a6">
    <w:name w:val="header"/>
    <w:basedOn w:val="a"/>
    <w:qFormat/>
    <w:rsid w:val="00CF192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CF1920"/>
    <w:pPr>
      <w:spacing w:beforeAutospacing="1" w:afterAutospacing="1"/>
      <w:jc w:val="left"/>
    </w:pPr>
    <w:rPr>
      <w:rFonts w:cs="Times New Roman"/>
      <w:kern w:val="0"/>
      <w:sz w:val="24"/>
    </w:rPr>
  </w:style>
  <w:style w:type="character" w:styleId="a8">
    <w:name w:val="Strong"/>
    <w:basedOn w:val="a0"/>
    <w:qFormat/>
    <w:rsid w:val="00CF1920"/>
    <w:rPr>
      <w:b/>
      <w:bCs/>
    </w:rPr>
  </w:style>
  <w:style w:type="paragraph" w:customStyle="1" w:styleId="p0">
    <w:name w:val="p0"/>
    <w:basedOn w:val="a"/>
    <w:qFormat/>
    <w:rsid w:val="00CF1920"/>
    <w:pPr>
      <w:widowControl/>
    </w:pPr>
    <w:rPr>
      <w:rFonts w:ascii="Calibri" w:eastAsia="宋体" w:hAnsi="Calibri" w:cs="宋体"/>
      <w:kern w:val="0"/>
      <w:szCs w:val="32"/>
    </w:rPr>
  </w:style>
  <w:style w:type="character" w:customStyle="1" w:styleId="Char">
    <w:name w:val="正文文本缩进 Char"/>
    <w:basedOn w:val="a0"/>
    <w:link w:val="a4"/>
    <w:uiPriority w:val="99"/>
    <w:qFormat/>
    <w:rsid w:val="00CF1920"/>
    <w:rPr>
      <w:rFonts w:ascii="Calibri" w:hAnsi="Calibri" w:cs="宋体"/>
      <w:kern w:val="2"/>
      <w:sz w:val="21"/>
      <w:szCs w:val="24"/>
    </w:rPr>
  </w:style>
  <w:style w:type="paragraph" w:styleId="a9">
    <w:name w:val="Balloon Text"/>
    <w:basedOn w:val="a"/>
    <w:link w:val="Char0"/>
    <w:rsid w:val="00496C19"/>
    <w:rPr>
      <w:sz w:val="18"/>
      <w:szCs w:val="18"/>
    </w:rPr>
  </w:style>
  <w:style w:type="character" w:customStyle="1" w:styleId="Char0">
    <w:name w:val="批注框文本 Char"/>
    <w:basedOn w:val="a0"/>
    <w:link w:val="a9"/>
    <w:rsid w:val="00496C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2BDA3-F90B-401C-8903-6F99D92D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2498</Words>
  <Characters>673</Characters>
  <Application>Microsoft Office Word</Application>
  <DocSecurity>0</DocSecurity>
  <Lines>5</Lines>
  <Paragraphs>6</Paragraphs>
  <ScaleCrop>false</ScaleCrop>
  <Company>P R C</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财政局管理员</cp:lastModifiedBy>
  <cp:revision>6</cp:revision>
  <cp:lastPrinted>2022-05-12T00:46:00Z</cp:lastPrinted>
  <dcterms:created xsi:type="dcterms:W3CDTF">2023-12-22T10:11:00Z</dcterms:created>
  <dcterms:modified xsi:type="dcterms:W3CDTF">2024-01-02T08:02:00Z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48C61CB29D3F4D9384F5922CF0F7FFB4</vt:lpwstr>
  </property>
</Properties>
</file>