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jc w:val="center"/>
        <w:rPr>
          <w:rFonts w:ascii="方正小标宋_GBK" w:eastAsia="方正小标宋_GBK" w:hAnsiTheme="minorHAnsi" w:cstheme="minorBidi"/>
          <w:kern w:val="2"/>
          <w:sz w:val="44"/>
          <w:szCs w:val="44"/>
        </w:rPr>
      </w:pPr>
      <w:r>
        <w:rPr>
          <w:rFonts w:ascii="方正小标宋_GBK" w:eastAsia="方正小标宋_GBK" w:hAnsiTheme="minorHAnsi" w:cstheme="minorBidi"/>
          <w:kern w:val="2"/>
          <w:sz w:val="44"/>
          <w:szCs w:val="44"/>
        </w:rPr>
        <w:t>巫山县当阳乡人民政府（本级）</w:t>
      </w:r>
    </w:p>
    <w:p>
      <w:pPr>
        <w:spacing w:line="594" w:lineRule="exact"/>
        <w:jc w:val="center"/>
        <w:rPr>
          <w:rFonts w:hint="default" w:ascii="方正小标宋_GBK" w:eastAsia="方正小标宋_GBK" w:hAnsiTheme="minorHAnsi" w:cstheme="minorBidi"/>
          <w:kern w:val="2"/>
          <w:sz w:val="44"/>
          <w:szCs w:val="44"/>
        </w:rPr>
      </w:pPr>
      <w:bookmarkStart w:id="0" w:name="_GoBack"/>
      <w:bookmarkEnd w:id="0"/>
      <w:r>
        <w:rPr>
          <w:rFonts w:hint="default" w:ascii="方正小标宋_GBK" w:eastAsia="方正小标宋_GBK" w:hAnsiTheme="minorHAnsi" w:cstheme="minorBidi"/>
          <w:kern w:val="2"/>
          <w:sz w:val="44"/>
          <w:szCs w:val="44"/>
        </w:rPr>
        <w:t>2024</w:t>
      </w:r>
      <w:r>
        <w:rPr>
          <w:rFonts w:ascii="方正小标宋_GBK" w:eastAsia="方正小标宋_GBK" w:hAnsiTheme="minorHAnsi" w:cstheme="minorBidi"/>
          <w:kern w:val="2"/>
          <w:sz w:val="44"/>
          <w:szCs w:val="44"/>
        </w:rPr>
        <w:t>年度决算公开说明</w:t>
      </w:r>
    </w:p>
    <w:p>
      <w:pPr>
        <w:spacing w:line="594" w:lineRule="exact"/>
        <w:ind w:firstLine="640" w:firstLineChars="200"/>
        <w:rPr>
          <w:rFonts w:hint="default" w:ascii="方正黑体_GBK" w:eastAsia="方正黑体_GBK" w:hAnsiTheme="minorHAnsi" w:cstheme="minorBidi"/>
          <w:kern w:val="2"/>
          <w:sz w:val="32"/>
          <w:szCs w:val="32"/>
        </w:rPr>
      </w:pPr>
    </w:p>
    <w:p>
      <w:pPr>
        <w:spacing w:line="594" w:lineRule="exact"/>
        <w:ind w:firstLine="640" w:firstLineChars="200"/>
        <w:rPr>
          <w:rFonts w:hint="default" w:ascii="方正黑体_GBK" w:eastAsia="方正黑体_GBK" w:hAnsiTheme="minorHAnsi" w:cstheme="minorBidi"/>
          <w:kern w:val="2"/>
          <w:sz w:val="32"/>
          <w:szCs w:val="32"/>
        </w:rPr>
      </w:pPr>
      <w:r>
        <w:rPr>
          <w:rFonts w:ascii="方正黑体_GBK" w:eastAsia="方正黑体_GBK" w:hAnsiTheme="minorHAnsi" w:cstheme="minorBidi"/>
          <w:kern w:val="2"/>
          <w:sz w:val="32"/>
          <w:szCs w:val="32"/>
        </w:rPr>
        <w:t>一、单位基本情况</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（一）职能职责</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一是执行国家行政机关的决定、命令和国家制定的法令、法规，执行本级人民代表大会的各项决议，并报告执行决议、决定和命令的情况。二是制定并落实本行政区域的经济计划和措施，促进产业结构调整及其他经济保持平衡协调发展，全面提高人民群众的生活水平和生活质量。三是承担国有资产、集体资产管理、监督及增值保值责任。四是保护公民私人所有合法财产，保障集体经济组织应有的自主权。五是开展社会主义民主和法制的宣传教育，保障公民的权利，打击违法犯罪，维护社会稳定。六是制定社会各项事业发展计划，发展教育、卫生、科技、民政、广播电视、文化、体育事业。七是组织实施义务教育和其他各类教育，推进社会保障、社会福利事业和养老保险工作。八是加强乡镇财政的监督和管理，按计划组织、管理乡镇财政收入和支出，执行国家有关财经纪律和政策，保证国家财政收入的完成。九是做好统计工作。指导、支持、帮助村民委员会的组织制度建设和业务建设，促进村民委员会民主自治。十是制定和组织实施乡村建设规划，加强公用、市政设施、水利建设和管理以及房屋土地管理和环境综合治理工作，保护和改善生活环境和生态环境。</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（二）机构设置</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我乡共设置综合性办事机构5个，即：基层治理综合指挥室、党的建设办公室、经济发展办公室、民生服务办公室、平安法治办公室；行政编制21人。</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（三）单位构成</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本单位无下级预算单位。</w:t>
      </w:r>
    </w:p>
    <w:p>
      <w:pPr>
        <w:spacing w:line="594" w:lineRule="exact"/>
        <w:ind w:firstLine="640" w:firstLineChars="200"/>
        <w:rPr>
          <w:rFonts w:hint="default" w:ascii="方正黑体_GBK" w:eastAsia="方正黑体_GBK" w:hAnsiTheme="minorHAnsi" w:cstheme="minorBidi"/>
          <w:kern w:val="2"/>
          <w:sz w:val="32"/>
          <w:szCs w:val="32"/>
        </w:rPr>
      </w:pPr>
      <w:r>
        <w:rPr>
          <w:rFonts w:ascii="方正黑体_GBK" w:eastAsia="方正黑体_GBK" w:hAnsiTheme="minorHAnsi" w:cstheme="minorBidi"/>
          <w:kern w:val="2"/>
          <w:sz w:val="32"/>
          <w:szCs w:val="32"/>
        </w:rPr>
        <w:t>二、单位决算收支情况说明</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（一）收入支出决算总体情况说明。</w:t>
      </w:r>
    </w:p>
    <w:p>
      <w:pPr>
        <w:spacing w:line="594" w:lineRule="exact"/>
        <w:ind w:firstLine="643" w:firstLineChars="200"/>
        <w:rPr>
          <w:rFonts w:hint="default" w:ascii="方正仿宋_GBK" w:eastAsia="方正仿宋_GBK"/>
          <w:sz w:val="32"/>
          <w:szCs w:val="32"/>
        </w:rPr>
      </w:pPr>
      <w:r>
        <w:rPr>
          <w:rFonts w:ascii="方正仿宋_GBK" w:eastAsia="方正仿宋_GBK"/>
          <w:b/>
          <w:sz w:val="32"/>
          <w:szCs w:val="32"/>
        </w:rPr>
        <w:t>1.总体情况。</w:t>
      </w:r>
      <w:r>
        <w:rPr>
          <w:rFonts w:ascii="方正仿宋_GBK" w:eastAsia="方正仿宋_GBK"/>
          <w:sz w:val="32"/>
          <w:szCs w:val="32"/>
        </w:rPr>
        <w:t>2024年度收入总计1429.2万元，支出总计1429.2万元。收、支与2023年度相比，减少230.43万元，下降13.9%，主要原因是下达项目资金减少：2023年农副产品加工基地配套设施项目、交通项目、里河村产业道路硬化项目、2023年当阳乡秋月梨、海洋甜柿种植项目等。</w:t>
      </w:r>
    </w:p>
    <w:p>
      <w:pPr>
        <w:spacing w:line="594" w:lineRule="exact"/>
        <w:ind w:firstLine="643" w:firstLineChars="200"/>
        <w:rPr>
          <w:rFonts w:hint="default" w:ascii="方正仿宋_GBK" w:eastAsia="方正仿宋_GBK"/>
          <w:sz w:val="32"/>
          <w:szCs w:val="32"/>
        </w:rPr>
      </w:pPr>
      <w:r>
        <w:rPr>
          <w:rFonts w:ascii="方正仿宋_GBK" w:eastAsia="方正仿宋_GBK"/>
          <w:b/>
          <w:sz w:val="32"/>
          <w:szCs w:val="32"/>
        </w:rPr>
        <w:t>2.收入情况。</w:t>
      </w:r>
      <w:r>
        <w:rPr>
          <w:rFonts w:ascii="方正仿宋_GBK" w:eastAsia="方正仿宋_GBK"/>
          <w:sz w:val="32"/>
          <w:szCs w:val="32"/>
        </w:rPr>
        <w:t>2024年度收入合计1429.2万元，与2023年度相比，减少229.43万元，下降13.8%，主要原因是下达项目资金减少：2023年农副产品加工基地配套设施项目、交通项目、里河村产业道路硬化项目、2023年当阳乡秋月梨、海洋甜柿种植项目等。其中：财政拨款收入1429.2万元，占100.0%；事业收入0.0万元，占0.0%；经营收入0.0万元，占0.0%；其他收入0.0万元，占0.0%。此外，使用非财政拨款结余和专用结余0.0万元，年初结转和结余0.0万元。</w:t>
      </w:r>
    </w:p>
    <w:p>
      <w:pPr>
        <w:spacing w:line="594" w:lineRule="exact"/>
        <w:ind w:firstLine="643" w:firstLineChars="200"/>
        <w:rPr>
          <w:rFonts w:hint="default" w:ascii="方正仿宋_GBK" w:eastAsia="方正仿宋_GBK"/>
          <w:sz w:val="32"/>
          <w:szCs w:val="32"/>
        </w:rPr>
      </w:pPr>
      <w:r>
        <w:rPr>
          <w:rFonts w:ascii="方正仿宋_GBK" w:eastAsia="方正仿宋_GBK"/>
          <w:b/>
          <w:sz w:val="32"/>
          <w:szCs w:val="32"/>
        </w:rPr>
        <w:t>3.支出情况。</w:t>
      </w:r>
      <w:r>
        <w:rPr>
          <w:rFonts w:ascii="方正仿宋_GBK" w:eastAsia="方正仿宋_GBK"/>
          <w:sz w:val="32"/>
          <w:szCs w:val="32"/>
        </w:rPr>
        <w:t>2024年度支出合计1429.2万元，与2023年度相比，减少230.43万元，下降13.9%，主要原因是下达项目资金减少：2023年农副产品加工基地配套设施项目、交通项目、里河村产业道路硬化项目、2023年当阳乡秋月梨、海洋甜柿种植项目等。其中：基本支出473.7万元，占33.1%；项目支出955.5万元，占66.9%；经营支出0.0万元，占0.0%。此外，结余分配0.0万元。</w:t>
      </w:r>
    </w:p>
    <w:p>
      <w:pPr>
        <w:spacing w:line="594" w:lineRule="exact"/>
        <w:ind w:firstLine="643" w:firstLineChars="200"/>
        <w:rPr>
          <w:rFonts w:hint="default" w:ascii="方正仿宋_GBK" w:eastAsia="方正仿宋_GBK"/>
          <w:sz w:val="32"/>
          <w:szCs w:val="32"/>
        </w:rPr>
      </w:pPr>
      <w:r>
        <w:rPr>
          <w:rFonts w:ascii="方正仿宋_GBK" w:eastAsia="方正仿宋_GBK"/>
          <w:b/>
          <w:sz w:val="32"/>
          <w:szCs w:val="32"/>
        </w:rPr>
        <w:t>4.结转结余情况。</w:t>
      </w:r>
      <w:r>
        <w:rPr>
          <w:rFonts w:ascii="方正仿宋_GBK" w:eastAsia="方正仿宋_GBK"/>
          <w:sz w:val="32"/>
          <w:szCs w:val="32"/>
        </w:rPr>
        <w:t>2024年度年末结转和结余0.0万元，与2023年度相比，无增减，主要原因是本单位无结转结余资金。</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（二）财政拨款收入支出决算总体情况说明</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2024年度财政拨款收、支总计1429.2万元。与2023年相比，财政拨款收、支总计各减少230.43万元，下降13.9%。主要原因是下达项目资金减少：2023年农副产品加工基地配套设施项目、交通项目、里河村产业道路硬化项目、2023年当阳乡秋月梨、海洋甜柿种植项目等。</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（三）一般公共预算财政拨款收入支出决算情况说明</w:t>
      </w:r>
    </w:p>
    <w:p>
      <w:pPr>
        <w:spacing w:line="594" w:lineRule="exact"/>
        <w:ind w:firstLine="643" w:firstLineChars="200"/>
        <w:rPr>
          <w:rFonts w:hint="default" w:ascii="方正仿宋_GBK" w:eastAsia="方正仿宋_GBK"/>
          <w:sz w:val="32"/>
          <w:szCs w:val="32"/>
        </w:rPr>
      </w:pPr>
      <w:r>
        <w:rPr>
          <w:rFonts w:ascii="方正仿宋_GBK" w:eastAsia="方正仿宋_GBK"/>
          <w:b/>
          <w:sz w:val="32"/>
          <w:szCs w:val="32"/>
        </w:rPr>
        <w:t>1.收入情况。</w:t>
      </w:r>
      <w:r>
        <w:rPr>
          <w:rFonts w:ascii="方正仿宋_GBK" w:eastAsia="方正仿宋_GBK"/>
          <w:sz w:val="32"/>
          <w:szCs w:val="32"/>
        </w:rPr>
        <w:t>2024年度一般公共预算财政拨款收入1408.5万元，与2023年度相比，减少239.07万元，下降14.5%。主要原因是下达项目资金减少：2023年农副产品加工基地配套设施项目、交通项目、里河村产业道路硬化项目、2023年当阳乡秋月梨、海洋甜柿种植项目等。较年初预算数增加687.28万元，增长95.3%。主要原因：一是单位人员晋升，相应工资、社保和公积金等标准调高；二是追加了项目资金：农村人居环境综合整治项目、红槽村4社道路硬化、红槽村人饮提升工程、农村“四旁”植树项目、高坪7社道路硬化项目等。此外，年初财政拨款结转和结余0.0万元。</w:t>
      </w:r>
    </w:p>
    <w:p>
      <w:pPr>
        <w:spacing w:line="594" w:lineRule="exact"/>
        <w:ind w:firstLine="643" w:firstLineChars="200"/>
        <w:rPr>
          <w:rFonts w:hint="default" w:ascii="方正仿宋_GBK" w:eastAsia="方正仿宋_GBK"/>
          <w:sz w:val="32"/>
          <w:szCs w:val="32"/>
        </w:rPr>
      </w:pPr>
      <w:r>
        <w:rPr>
          <w:rFonts w:ascii="方正仿宋_GBK" w:eastAsia="方正仿宋_GBK"/>
          <w:b/>
          <w:sz w:val="32"/>
          <w:szCs w:val="32"/>
        </w:rPr>
        <w:t>2.支出情况。</w:t>
      </w:r>
      <w:r>
        <w:rPr>
          <w:rFonts w:ascii="方正仿宋_GBK" w:eastAsia="方正仿宋_GBK"/>
          <w:sz w:val="32"/>
          <w:szCs w:val="32"/>
        </w:rPr>
        <w:t>2024年度一般公共预算财政拨款支出1408.5万元，与2023年度相比，减少240.07万元，下降14.6%。主要原因是下达项目资金减少：2023年农副产品加工基地配套设施项目、交通项目、里河村产业道路硬化项目、2023年当阳乡秋月梨、海洋甜柿种植项目等。较年初预算数增加687.28万元，增长95.3%。主要原因：一是单位人员晋升，相应工资、社保和公积金等标准调高；二是追加了项目资金：农村人居环境综合整治项目、红槽村4社道路硬化、红槽村人饮提升工程、农村“四旁”植树项目、高坪7社道路硬化项目等。</w:t>
      </w:r>
    </w:p>
    <w:p>
      <w:pPr>
        <w:spacing w:line="594" w:lineRule="exact"/>
        <w:ind w:firstLine="643" w:firstLineChars="200"/>
        <w:rPr>
          <w:rFonts w:hint="default" w:ascii="方正仿宋_GBK" w:eastAsia="方正仿宋_GBK"/>
          <w:sz w:val="32"/>
          <w:szCs w:val="32"/>
        </w:rPr>
      </w:pPr>
      <w:r>
        <w:rPr>
          <w:rFonts w:ascii="方正仿宋_GBK" w:eastAsia="方正仿宋_GBK"/>
          <w:b/>
          <w:sz w:val="32"/>
          <w:szCs w:val="32"/>
        </w:rPr>
        <w:t>3.结转结余情况。</w:t>
      </w:r>
      <w:r>
        <w:rPr>
          <w:rFonts w:ascii="方正仿宋_GBK" w:eastAsia="方正仿宋_GBK"/>
          <w:sz w:val="32"/>
          <w:szCs w:val="32"/>
        </w:rPr>
        <w:t>2024年度年末一般公共预算财政拨款结转和结余0.0万元，与2023年度相比，无增减，主要原因是本单位无结转结余资金。</w:t>
      </w:r>
    </w:p>
    <w:p>
      <w:pPr>
        <w:spacing w:line="594" w:lineRule="exact"/>
        <w:ind w:firstLine="643" w:firstLineChars="200"/>
        <w:rPr>
          <w:rFonts w:hint="default" w:ascii="方正仿宋_GBK" w:eastAsia="方正仿宋_GBK"/>
          <w:sz w:val="32"/>
          <w:szCs w:val="32"/>
        </w:rPr>
      </w:pPr>
      <w:r>
        <w:rPr>
          <w:rFonts w:ascii="方正仿宋_GBK" w:eastAsia="方正仿宋_GBK"/>
          <w:b/>
          <w:sz w:val="32"/>
          <w:szCs w:val="32"/>
        </w:rPr>
        <w:t xml:space="preserve"> 4.比较情况。</w:t>
      </w:r>
      <w:r>
        <w:rPr>
          <w:rFonts w:ascii="方正仿宋_GBK" w:eastAsia="方正仿宋_GBK"/>
          <w:sz w:val="32"/>
          <w:szCs w:val="32"/>
        </w:rPr>
        <w:t>本单位2024年度一般公共预算财政拨款支出主要用于以下几个方面：</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（1）一般公共服务支出411.6万元，占29.2%，较年初预算数增加33.63万元，增长8.9%，主要原因是追加了项目资金：农村交通安全劝导员补助、老党员生活定补、征管经费等。</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（2）文化旅游体育与传媒支出4.9万元，占0.4%，较年初预算数增加4.84万元，增长6914.3%，主要原因是追加文化站免费开放补助资金。</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3）社会保障与就业支出96.0万元，占6.8%，较年初预算数增加28.19万元，增长41.6%，主要原因是追加了项目资金：特困安葬费、乡镇敬老院管理运行、严重精神障碍患者监护人以奖代补、残疾人专职委员工作补贴等。</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（4）卫生健康支出34.1万元，占2.4%，较年初预算数增加6.17万元，增长22.1%，主要原因是单位人员晋升，相应社保标准提高。</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（5）节能环保支出34.8万元，占2.5%，较年初预算数增加28.29万元，增长431.9%，主要原因是追加了生态护林员补助。</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6）农林水支出739.3万元，占52.5%，较年初预算数增加548.35万元，增长287.1%，主要原因：一是追加烤烟生产补助和维修等资金；二是追加了动物防疫相关资金；三是追加了项目资金：高坪7社道路硬化项目、红槽村4社道路硬化项目、农村人居环境综合整治项目、烟台（巫山）现代农业产业园建设项目、农村“四旁”植树项目、当阳乡红槽村人饮提升工程等。</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（7）交通运输支出7.9万元，占0.6%，较年初预算数增加7.93万元，增长100.0%，主要原因是追加村组道路养护专项资金。</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（8）自然资源海洋气象等支出1.5万元，占0.1%，较年初预算数增加1.47万元，增长100.0%，主要原因是追加耕地保护工作经费。</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（9）住房保障支出31.5万元，占2.2%，较年初预算数增加2.77万元，增长9.6%，主要原因是公积金调标，相应人员支出增加。</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（10）灾害防治及应急管理支出46.74万元，占3.3%，较年初预算数增加25.64万元，增长121.5%，主要原因是追加自然灾害救灾资金、冬春生活救助。</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（四）一般公共预算财政拨款基本支出决算情况说明</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2024年度一般公共财政拨款基本支出473.7万元。其中：人员经费411.8万元，与2023年度相比，增加17.71万元，增长4.5%，主要原因是一是人员晋升，相应人员经费支出增加；公积金调标，相应人员经费支出增加。人员经费用途主要包括基本工资、津贴补贴、奖金、社会保障缴费、绩效工资、其他工资福利支出、退休费、抚恤金、住房公积金等。公用经费61.9万元，与2023年度相比，增加4.04万元，增长7.0%，主要原因是生态环保督查整改、林业撂荒地复耕复种等工作时间紧、任务重的背景下，相关支出增加。公用经费用途主要包括办公费、咨询费、水费、电费、邮电费、差旅费、会议费、培训费、公务接待费、劳务费、工会经费、福利费、公务车运行维护费等。</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（五）政府性基金预算收支决算情况说明</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2024年度政府性基金预算财政拨款年初结转结余0.0万元，年末结转结余0.0万元。本年收入20.7万元，与2023年度相比，增加9.63万元，增长87.2%，主要原因是下达项目资金增加：村社道路养护、耕地保护工作经费。本年支出20.7万元，与2023年度相比，增加9.63万元，增长87.2%，主要原因是下达项目资金增加：村社道路养护、耕地保护工作经费。</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（六）国有资本经营预算财政拨款支出决算情况说明</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本单位2024年度无国有资本经营预算财政拨款支出。</w:t>
      </w:r>
    </w:p>
    <w:p>
      <w:pPr>
        <w:spacing w:line="594" w:lineRule="exact"/>
        <w:ind w:firstLine="640" w:firstLineChars="200"/>
        <w:rPr>
          <w:rFonts w:hint="default" w:ascii="方正黑体_GBK" w:eastAsia="方正黑体_GBK" w:hAnsiTheme="minorHAnsi" w:cstheme="minorBidi"/>
          <w:kern w:val="2"/>
          <w:sz w:val="32"/>
          <w:szCs w:val="32"/>
        </w:rPr>
      </w:pPr>
      <w:r>
        <w:rPr>
          <w:rFonts w:ascii="方正黑体_GBK" w:eastAsia="方正黑体_GBK" w:hAnsiTheme="minorHAnsi" w:cstheme="minorBidi"/>
          <w:kern w:val="2"/>
          <w:sz w:val="32"/>
          <w:szCs w:val="32"/>
        </w:rPr>
        <w:t>三、财政拨款“三公”经费情况说明</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（一）“三公”经费支出总体情况说明</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2024年度“三公”经费支出共计2.9万元，较年初预算数减少6.47万元，下降69.2%，主要原因是认真贯彻落实中央八项规定精神和厉行节约要求，从严控制“三公”经费，全年预算有所下降。较上年支出数增加1.80万元，增长166.7%，主要原因是我单位公务用车使用年限较长，日常维修频次增加，维护费用增加。</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（二）“三公”经费分项支出情况</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2024年度本单位因公出国（境）费用0.0万元，较年初预算数无增减，较上年支出数无增减，主要原因是本单位2024年度未安排因公出国（境）。</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公务车购置费0.0万元，较年初预算数无增减，较上年支出数无增减，主要原因是2023年度未购置公务车。</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公务车运行维护费2.2万元，主要用于机要文件交换、县内因公出行、村级业务检查，下乡走访等工作所需车辆的燃料费、维修费、过桥过路费、保险费等费用。费用支出较年初预算数减少5.47万元，下降71.0%，主要原因是严格执行公车改革规定，杜绝公车私用的情况。较上年支出数增加1.15万元，增长106.5%，主要原因是我单位公务用车使用年限较长，日常维修频次增加，维护费用增加。</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公务接待费0.7万元，主要用于接待上级部门检查、工作交流等。费用支出较年初预算数减少1.00万元，下降60.6%，主要原因是严格按照公务接待相关规定进行接待，严禁超标准超范围接待。较上年支出数增加0.65万元，增长100.0%，主要原因是政府（本级）接待与站所合并报销，2024年公务接待费用在政府本级列支。</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（三）“三公”经费实物量情况</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2024年度本单位因公出国（境）共计0个团组，0人；公务用车购置0辆，公务车保有量为2辆；国内公务接待217批次217人，其中：国内外事接待0批次，0人；国（境）外公务接待0批次，0人。2024年本单位人均接待费30.0元，车均购置费0万元，车均维护费1.1万元。</w:t>
      </w:r>
    </w:p>
    <w:p>
      <w:pPr>
        <w:spacing w:line="594" w:lineRule="exact"/>
        <w:ind w:firstLine="640" w:firstLineChars="200"/>
        <w:rPr>
          <w:rFonts w:hint="default" w:ascii="方正黑体_GBK" w:eastAsia="方正黑体_GBK" w:hAnsiTheme="minorHAnsi" w:cstheme="minorBidi"/>
          <w:kern w:val="2"/>
          <w:sz w:val="32"/>
          <w:szCs w:val="32"/>
        </w:rPr>
      </w:pPr>
      <w:r>
        <w:rPr>
          <w:rFonts w:ascii="方正黑体_GBK" w:eastAsia="方正黑体_GBK" w:hAnsiTheme="minorHAnsi" w:cstheme="minorBidi"/>
          <w:kern w:val="2"/>
          <w:sz w:val="32"/>
          <w:szCs w:val="32"/>
        </w:rPr>
        <w:t>四、其他需要说明的事项</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（一）财政拨款会议费和培训费情况说明</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本年度会议费支出1.5万元，与2023年度相比，增加1.16万元，增长322.2%，主要原因是生态环保督查整改、林业撂荒地复耕复种等工作时间紧、任务重的背景下，相关支出增加。本年度培训费支出1.2万元，与2023年度相比，增加0.09万元，增长8.0%，主要原因是因“数字重庆”建设、“网格化”管理等工作需要，相关培训支出增加。</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（二）机关运行经费情况说明</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2024年度本单位机关运行经费支出61.9万元，机关运行经费主要用于开支办公费、公务车运行维护费，会议费，差旅费、劳务费、水电费、邮电费，公务接待费等。机关运行经费较上年支出数增加4.04万元，增长7.0%，主要原因是生态环保督查整改、林业撂荒地复耕复种等工作时间紧、任务重的背景下，相关支出增加。</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（三）国有资产占用情况说明</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截至2024年12月31日，本单位共有车辆2辆，其中，副部（省）级及以上领导用车0辆、主要负责人用车0辆、机要通信用车0辆、应急保障用车2辆、执法执勤用车0辆，特种专业技术用车0辆，离退休干部用车0辆。单价100万元（含）以上专用设备0台（套）。</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（四）政府采购支出情况说明</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2024年度本单位政府采购支出总额4.3万元，其中：政府采购货物支出4.3万元、政府采购工程支出0.0万元、政府采购服务支出0.0万元。授予中小企业合同金额4.3万元，占政府采购支出总额的100.0%，其中：授予小微企业合同金额4.3万元，占政府采购支出总额的100.0 %。主要用于采购便民服务中心设备提档升级。</w:t>
      </w:r>
    </w:p>
    <w:p>
      <w:pPr>
        <w:spacing w:line="594" w:lineRule="exact"/>
        <w:ind w:firstLine="640" w:firstLineChars="200"/>
        <w:rPr>
          <w:rFonts w:hint="default" w:ascii="方正黑体_GBK" w:eastAsia="方正黑体_GBK" w:hAnsiTheme="minorHAnsi" w:cstheme="minorBidi"/>
          <w:kern w:val="2"/>
          <w:sz w:val="32"/>
          <w:szCs w:val="32"/>
        </w:rPr>
      </w:pPr>
      <w:r>
        <w:rPr>
          <w:rFonts w:ascii="方正黑体_GBK" w:eastAsia="方正黑体_GBK" w:hAnsiTheme="minorHAnsi" w:cstheme="minorBidi"/>
          <w:kern w:val="2"/>
          <w:sz w:val="32"/>
          <w:szCs w:val="32"/>
        </w:rPr>
        <w:t>五、2024年度预算绩效管理情况说明</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（一）单位自评情况</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根据预算绩效管理要求，我单位对51个二级项目开展了绩效自评，涉及财政拨款项目支出资金1072.58万元。</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详见附件：</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1.巫山县当阳乡人民政府2024年度部门整体目标填报表；</w:t>
      </w:r>
    </w:p>
    <w:p>
      <w:pPr>
        <w:spacing w:line="594" w:lineRule="exact"/>
        <w:ind w:left="638" w:leftChars="266"/>
        <w:rPr>
          <w:rFonts w:hint="default" w:ascii="方正楷体_GBK" w:eastAsia="方正楷体_GBK" w:hAnsiTheme="minorHAnsi" w:cstheme="minorBidi"/>
          <w:kern w:val="2"/>
          <w:sz w:val="32"/>
          <w:szCs w:val="32"/>
        </w:rPr>
      </w:pPr>
      <w:r>
        <w:rPr>
          <w:rFonts w:ascii="方正仿宋_GBK" w:eastAsia="方正仿宋_GBK"/>
          <w:sz w:val="32"/>
          <w:szCs w:val="32"/>
        </w:rPr>
        <w:t>2.巫山县当阳乡人民政府_2024二级项目绩效自评表。</w:t>
      </w:r>
      <w:r>
        <w:rPr>
          <w:rFonts w:ascii="方正楷体_GBK" w:eastAsia="方正楷体_GBK" w:hAnsiTheme="minorHAnsi" w:cstheme="minorBidi"/>
          <w:kern w:val="2"/>
          <w:sz w:val="32"/>
          <w:szCs w:val="32"/>
        </w:rPr>
        <w:t>（二）部门绩效评价情况</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我单位未组织开展绩效评价。</w:t>
      </w:r>
    </w:p>
    <w:p>
      <w:pPr>
        <w:spacing w:line="594" w:lineRule="exact"/>
        <w:ind w:firstLine="640" w:firstLineChars="200"/>
        <w:rPr>
          <w:rFonts w:hint="default" w:ascii="方正楷体_GBK" w:eastAsia="方正楷体_GBK" w:hAnsiTheme="minorHAnsi" w:cstheme="minorBidi"/>
          <w:kern w:val="2"/>
          <w:sz w:val="32"/>
          <w:szCs w:val="32"/>
        </w:rPr>
      </w:pPr>
      <w:r>
        <w:rPr>
          <w:rFonts w:ascii="方正楷体_GBK" w:eastAsia="方正楷体_GBK" w:hAnsiTheme="minorHAnsi" w:cstheme="minorBidi"/>
          <w:kern w:val="2"/>
          <w:sz w:val="32"/>
          <w:szCs w:val="32"/>
        </w:rPr>
        <w:t>（三）财政绩效评价情况</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县财政局未委托第三方对我单位开展绩效评价。</w:t>
      </w:r>
    </w:p>
    <w:p>
      <w:pPr>
        <w:spacing w:line="594" w:lineRule="exact"/>
        <w:ind w:firstLine="640" w:firstLineChars="200"/>
        <w:rPr>
          <w:rFonts w:hint="default" w:ascii="方正黑体_GBK" w:eastAsia="方正黑体_GBK" w:hAnsiTheme="minorHAnsi" w:cstheme="minorBidi"/>
          <w:kern w:val="2"/>
          <w:sz w:val="32"/>
          <w:szCs w:val="32"/>
        </w:rPr>
      </w:pPr>
      <w:r>
        <w:rPr>
          <w:rFonts w:ascii="方正黑体_GBK" w:eastAsia="方正黑体_GBK" w:hAnsiTheme="minorHAnsi" w:cstheme="minorBidi"/>
          <w:kern w:val="2"/>
          <w:sz w:val="32"/>
          <w:szCs w:val="32"/>
        </w:rPr>
        <w:t xml:space="preserve"> 六、专业名词解释</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（一）财政拨款收入：</w:t>
      </w:r>
      <w:r>
        <w:rPr>
          <w:rFonts w:ascii="方正仿宋_GBK" w:eastAsia="方正仿宋_GBK"/>
          <w:sz w:val="32"/>
          <w:szCs w:val="32"/>
        </w:rPr>
        <w:t>指本年度从本级财政部门取得的财政拨款，包括一般公共预算财政拨款和政府性基金预算财政拨款。</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（二）事业收入：</w:t>
      </w:r>
      <w:r>
        <w:rPr>
          <w:rFonts w:ascii="方正仿宋_GBK" w:eastAsia="方正仿宋_GBK"/>
          <w:sz w:val="32"/>
          <w:szCs w:val="32"/>
        </w:rPr>
        <w:t>指事业单位开展专业业务活动及其辅助活动取得的现金流入；事业单位收到的财政专户实际核拨的教育收费等资金在此反映。</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（三）经营收入：</w:t>
      </w:r>
      <w:r>
        <w:rPr>
          <w:rFonts w:ascii="方正仿宋_GBK" w:eastAsia="方正仿宋_GBK"/>
          <w:sz w:val="32"/>
          <w:szCs w:val="32"/>
        </w:rPr>
        <w:t>指事业单位在专业业务活动及其辅助活动之外开展非独立核算经营活动取得的现金流入。</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（四）其他收入：</w:t>
      </w:r>
      <w:r>
        <w:rPr>
          <w:rFonts w:ascii="方正仿宋_GBK" w:eastAsia="方正仿宋_GBK"/>
          <w:sz w:val="32"/>
          <w:szCs w:val="32"/>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（五）使用非财政拨款结余：</w:t>
      </w:r>
      <w:r>
        <w:rPr>
          <w:rFonts w:ascii="方正仿宋_GBK" w:eastAsia="方正仿宋_GBK"/>
          <w:sz w:val="32"/>
          <w:szCs w:val="32"/>
        </w:rPr>
        <w:t>指单位在当年的“财政拨款收入”、“事业收入”、“经营收入”、“其他收入”等不足以安排当年支出的情况下，使用以前年度积累的非财政拨款结余弥补本年度收支缺口的资金。</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（六）年初结转和结余：</w:t>
      </w:r>
      <w:r>
        <w:rPr>
          <w:rFonts w:ascii="方正仿宋_GBK" w:eastAsia="方正仿宋_GBK"/>
          <w:sz w:val="32"/>
          <w:szCs w:val="32"/>
        </w:rPr>
        <w:t>指单位上年结转本年使用的基本支出结转、项目支出结转和结余、经营结余。</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（七）结余分配：</w:t>
      </w:r>
      <w:r>
        <w:rPr>
          <w:rFonts w:ascii="方正仿宋_GBK" w:eastAsia="方正仿宋_GBK"/>
          <w:sz w:val="32"/>
          <w:szCs w:val="32"/>
        </w:rPr>
        <w:t>指单位按照国家有关规定，缴纳所得税、提取专用基金、转入非财政拨款结余等当年结余的分配情况。</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（八）年末结转和结余：</w:t>
      </w:r>
      <w:r>
        <w:rPr>
          <w:rFonts w:ascii="方正仿宋_GBK" w:eastAsia="方正仿宋_GBK"/>
          <w:sz w:val="32"/>
          <w:szCs w:val="32"/>
        </w:rPr>
        <w:t>指单位结转下年的基本支出结转、项目支出结转和结余、经营结余。</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（九）基本支出：</w:t>
      </w:r>
      <w:r>
        <w:rPr>
          <w:rFonts w:ascii="方正仿宋_GBK" w:eastAsia="方正仿宋_GBK"/>
          <w:sz w:val="32"/>
          <w:szCs w:val="32"/>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（十）项目支出：</w:t>
      </w:r>
      <w:r>
        <w:rPr>
          <w:rFonts w:ascii="方正仿宋_GBK" w:eastAsia="方正仿宋_GBK"/>
          <w:sz w:val="32"/>
          <w:szCs w:val="32"/>
        </w:rPr>
        <w:t>指在基本支出之外为完成特定行政任务和事业发展目标所发生的支出。</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（十一）经营支出：</w:t>
      </w:r>
      <w:r>
        <w:rPr>
          <w:rFonts w:ascii="方正仿宋_GBK" w:eastAsia="方正仿宋_GBK"/>
          <w:sz w:val="32"/>
          <w:szCs w:val="32"/>
        </w:rPr>
        <w:t>指事业单位在专业业务活动及其辅助活动之外开展非独立核算经营活动发生的支出。</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（十二）“三公”经费：</w:t>
      </w:r>
      <w:r>
        <w:rPr>
          <w:rFonts w:ascii="方正仿宋_GBK"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（十三）机关运行经费：</w:t>
      </w:r>
      <w:r>
        <w:rPr>
          <w:rFonts w:ascii="方正仿宋_GBK" w:eastAsia="方正仿宋_GBK"/>
          <w:sz w:val="32"/>
          <w:szCs w:val="32"/>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（十四）工资福利支出（支出经济分类科目类级）：</w:t>
      </w:r>
      <w:r>
        <w:rPr>
          <w:rFonts w:ascii="方正仿宋_GBK" w:eastAsia="方正仿宋_GBK"/>
          <w:sz w:val="32"/>
          <w:szCs w:val="32"/>
        </w:rPr>
        <w:t>反映单位开支的在职职工和编制外长期聘用人员的各类劳动报酬，以及为上述人员缴纳的各项社会保险费等。</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（十五）商品和服务支出（支出经济分类科目类级）：</w:t>
      </w:r>
      <w:r>
        <w:rPr>
          <w:rFonts w:ascii="方正仿宋_GBK" w:eastAsia="方正仿宋_GBK"/>
          <w:sz w:val="32"/>
          <w:szCs w:val="32"/>
        </w:rPr>
        <w:t>反映单位购买商品和服务的支出（不包括用于购置固定资产的支出、战略性和应急储备支出）。</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（十六）对个人和家庭的补助（支出经济分类科目类级）：</w:t>
      </w:r>
      <w:r>
        <w:rPr>
          <w:rFonts w:ascii="方正仿宋_GBK" w:eastAsia="方正仿宋_GBK"/>
          <w:sz w:val="32"/>
          <w:szCs w:val="32"/>
        </w:rPr>
        <w:t>反映用于对个人和家庭的补助支出。</w:t>
      </w:r>
    </w:p>
    <w:p>
      <w:pPr>
        <w:spacing w:line="594" w:lineRule="exact"/>
        <w:ind w:firstLine="640" w:firstLineChars="200"/>
        <w:rPr>
          <w:rFonts w:hint="default" w:ascii="方正仿宋_GBK" w:eastAsia="方正仿宋_GBK"/>
          <w:sz w:val="32"/>
          <w:szCs w:val="32"/>
        </w:rPr>
      </w:pPr>
      <w:r>
        <w:rPr>
          <w:rFonts w:ascii="方正楷体_GBK" w:eastAsia="方正楷体_GBK" w:hAnsiTheme="minorHAnsi" w:cstheme="minorBidi"/>
          <w:kern w:val="2"/>
          <w:sz w:val="32"/>
          <w:szCs w:val="32"/>
        </w:rPr>
        <w:t>（十七）其他资本性支出（支出经济分类科目类级）：</w:t>
      </w:r>
      <w:r>
        <w:rPr>
          <w:rFonts w:ascii="方正仿宋_GBK" w:eastAsia="方正仿宋_GBK"/>
          <w:sz w:val="32"/>
          <w:szCs w:val="32"/>
        </w:rPr>
        <w:t>反映非各级发展与改革部门集中安排的用于购置固定资产、战略性和应急性储备、土地和无形资产，以及构建基础设施、大型修缮和财政支持企业更新改造所发生的支出。</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七、决算公开联系方式及信息反馈渠道</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本单位决算公开信息反馈和联系方式：</w:t>
      </w:r>
    </w:p>
    <w:p>
      <w:pPr>
        <w:spacing w:line="594" w:lineRule="exact"/>
        <w:ind w:firstLine="640" w:firstLineChars="200"/>
        <w:rPr>
          <w:rFonts w:hint="default" w:ascii="方正仿宋_GBK" w:eastAsia="方正仿宋_GBK"/>
          <w:sz w:val="32"/>
          <w:szCs w:val="32"/>
        </w:rPr>
      </w:pPr>
      <w:r>
        <w:rPr>
          <w:rFonts w:ascii="方正仿宋_GBK" w:eastAsia="方正仿宋_GBK"/>
          <w:sz w:val="32"/>
          <w:szCs w:val="32"/>
        </w:rPr>
        <w:t>曾姣   023-57857002</w:t>
      </w:r>
    </w:p>
    <w:p>
      <w:pPr>
        <w:pStyle w:val="11"/>
        <w:autoSpaceDE w:val="0"/>
        <w:spacing w:line="596" w:lineRule="exact"/>
        <w:ind w:firstLine="643"/>
        <w:jc w:val="both"/>
        <w:rPr>
          <w:rStyle w:val="10"/>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7"/>
        <w:tblpPr w:leftFromText="180" w:rightFromText="180" w:vertAnchor="text" w:horzAnchor="page" w:tblpX="1058" w:tblpY="22"/>
        <w:tblOverlap w:val="never"/>
        <w:tblW w:w="14737" w:type="dxa"/>
        <w:tblInd w:w="0" w:type="dxa"/>
        <w:tblLayout w:type="fixed"/>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14737" w:type="dxa"/>
            <w:gridSpan w:val="4"/>
            <w:tcBorders>
              <w:top w:val="nil"/>
              <w:left w:val="nil"/>
              <w:bottom w:val="nil"/>
              <w:right w:val="nil"/>
            </w:tcBorders>
            <w:shd w:val="clear" w:color="auto" w:fill="auto"/>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4294"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ascii="Arial" w:hAnsi="Arial" w:cs="Arial"/>
                <w:color w:val="000000"/>
                <w:sz w:val="20"/>
                <w:szCs w:val="20"/>
              </w:rPr>
            </w:pPr>
          </w:p>
        </w:tc>
        <w:tc>
          <w:tcPr>
            <w:tcW w:w="3558" w:type="dxa"/>
            <w:tcBorders>
              <w:top w:val="nil"/>
              <w:left w:val="nil"/>
              <w:bottom w:val="nil"/>
              <w:right w:val="nil"/>
            </w:tcBorders>
            <w:shd w:val="clear" w:color="auto" w:fill="auto"/>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4044"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ascii="Arial" w:hAnsi="Arial" w:cs="Arial"/>
                <w:color w:val="000000"/>
                <w:sz w:val="20"/>
                <w:szCs w:val="20"/>
              </w:rPr>
            </w:pPr>
          </w:p>
        </w:tc>
        <w:tc>
          <w:tcPr>
            <w:tcW w:w="2841"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7852" w:type="dxa"/>
            <w:gridSpan w:val="2"/>
            <w:tcBorders>
              <w:top w:val="nil"/>
              <w:left w:val="nil"/>
              <w:bottom w:val="nil"/>
              <w:right w:val="nil"/>
            </w:tcBorders>
            <w:shd w:val="clear" w:color="auto" w:fill="auto"/>
            <w:tcMar>
              <w:top w:w="15" w:type="dxa"/>
              <w:left w:w="15" w:type="dxa"/>
              <w:right w:w="15" w:type="dxa"/>
            </w:tcMar>
            <w:vAlign w:val="bottom"/>
          </w:tcPr>
          <w:p>
            <w:pPr>
              <w:spacing w:line="280" w:lineRule="exact"/>
              <w:rPr>
                <w:rFonts w:hint="default" w:ascii="Arial" w:hAnsi="Arial" w:cs="Arial"/>
                <w:color w:val="000000"/>
                <w:sz w:val="22"/>
                <w:szCs w:val="22"/>
              </w:rPr>
            </w:pPr>
            <w:r>
              <w:rPr>
                <w:rFonts w:cs="宋体"/>
                <w:sz w:val="20"/>
                <w:szCs w:val="20"/>
              </w:rPr>
              <w:t>单位：</w:t>
            </w:r>
            <w:r>
              <w:rPr>
                <w:sz w:val="20"/>
              </w:rPr>
              <w:t>巫山县当阳乡人民政府（本级）</w:t>
            </w:r>
          </w:p>
        </w:tc>
        <w:tc>
          <w:tcPr>
            <w:tcW w:w="4044"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ascii="Arial" w:hAnsi="Arial" w:cs="Arial"/>
                <w:color w:val="000000"/>
                <w:sz w:val="22"/>
                <w:szCs w:val="22"/>
              </w:rPr>
            </w:pPr>
          </w:p>
        </w:tc>
        <w:tc>
          <w:tcPr>
            <w:tcW w:w="2841"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7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688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1,408.53</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411.64</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20.67</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4.91</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3558" w:type="dxa"/>
            <w:tcBorders>
              <w:top w:val="nil"/>
              <w:left w:val="nil"/>
              <w:bottom w:val="nil"/>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96.02</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34.14</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34.84</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15.05</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739.32</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90"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1.47</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31.53</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46.74</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5.63</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jc w:val="center"/>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1,429.20</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1,429.20</w:t>
            </w: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使用非财政拨款结余和专用结余</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2841"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5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1,429.20</w:t>
            </w:r>
          </w:p>
        </w:tc>
        <w:tc>
          <w:tcPr>
            <w:tcW w:w="4044" w:type="dxa"/>
            <w:tcBorders>
              <w:top w:val="nil"/>
              <w:left w:val="nil"/>
              <w:bottom w:val="single" w:color="000000" w:sz="4" w:space="0"/>
              <w:right w:val="single" w:color="auto" w:sz="4" w:space="0"/>
            </w:tcBorders>
            <w:shd w:val="clear" w:color="auto" w:fill="auto"/>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28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1,429.20</w:t>
            </w:r>
          </w:p>
        </w:tc>
      </w:tr>
    </w:tbl>
    <w:p>
      <w:pPr>
        <w:rPr>
          <w:rFonts w:hint="default" w:cs="宋体"/>
          <w:sz w:val="21"/>
          <w:szCs w:val="21"/>
        </w:rPr>
      </w:pPr>
    </w:p>
    <w:p>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15503" w:type="dxa"/>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tblPrEx>
          <w:tblCellMar>
            <w:top w:w="0" w:type="dxa"/>
            <w:left w:w="0" w:type="dxa"/>
            <w:bottom w:w="0" w:type="dxa"/>
            <w:right w:w="0" w:type="dxa"/>
          </w:tblCellMar>
        </w:tblPrEx>
        <w:trPr>
          <w:trHeight w:val="641" w:hRule="atLeast"/>
        </w:trPr>
        <w:tc>
          <w:tcPr>
            <w:tcW w:w="15503" w:type="dxa"/>
            <w:gridSpan w:val="10"/>
            <w:tcBorders>
              <w:top w:val="nil"/>
              <w:left w:val="nil"/>
              <w:bottom w:val="nil"/>
              <w:right w:val="nil"/>
            </w:tcBorders>
            <w:shd w:val="clear" w:color="auto" w:fill="auto"/>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5931" w:type="dxa"/>
            <w:gridSpan w:val="3"/>
            <w:vMerge w:val="restart"/>
            <w:tcBorders>
              <w:top w:val="nil"/>
              <w:left w:val="nil"/>
              <w:right w:val="nil"/>
            </w:tcBorders>
            <w:shd w:val="clear" w:color="auto" w:fill="auto"/>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单位：</w:t>
            </w:r>
            <w:r>
              <w:rPr>
                <w:sz w:val="20"/>
              </w:rPr>
              <w:t>巫山县当阳乡人民政府（本级）</w:t>
            </w:r>
          </w:p>
        </w:tc>
        <w:tc>
          <w:tcPr>
            <w:tcW w:w="1451"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256"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438"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459"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296"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350"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322"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5931" w:type="dxa"/>
            <w:gridSpan w:val="3"/>
            <w:vMerge w:val="continue"/>
            <w:tcBorders>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451"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256"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438"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459"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296"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350"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322"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434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15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28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1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143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2919" w:type="dxa"/>
            <w:vMerge w:val="restart"/>
            <w:tcBorders>
              <w:top w:val="nil"/>
              <w:left w:val="nil"/>
              <w:bottom w:val="single" w:color="000000" w:sz="4" w:space="0"/>
              <w:right w:val="nil"/>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143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2919" w:type="dxa"/>
            <w:vMerge w:val="continue"/>
            <w:tcBorders>
              <w:top w:val="nil"/>
              <w:left w:val="nil"/>
              <w:bottom w:val="single" w:color="000000" w:sz="4" w:space="0"/>
              <w:right w:val="nil"/>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143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2919" w:type="dxa"/>
            <w:vMerge w:val="continue"/>
            <w:tcBorders>
              <w:top w:val="nil"/>
              <w:left w:val="nil"/>
              <w:bottom w:val="single" w:color="000000" w:sz="4" w:space="0"/>
              <w:right w:val="nil"/>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143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2919" w:type="dxa"/>
            <w:vMerge w:val="continue"/>
            <w:tcBorders>
              <w:top w:val="nil"/>
              <w:left w:val="nil"/>
              <w:bottom w:val="single" w:color="000000" w:sz="4" w:space="0"/>
              <w:right w:val="nil"/>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58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1,429.20</w:t>
            </w:r>
          </w:p>
        </w:tc>
        <w:tc>
          <w:tcPr>
            <w:tcW w:w="14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1,429.20</w:t>
            </w: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43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4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2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3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411.64</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411.64</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408.29</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408.29</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343.70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343.70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其他政府办公厅（室）及相关机构事务支出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64.59</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64.59</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组织事务</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3.35</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3.35</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其他组织事务支出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3.35</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3.35</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4.91</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4.91</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4.91</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4.91</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其他文化和旅游支出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4.91</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4.91</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96.02</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96.02</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71.20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71.20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37.24</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37.24</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23.65</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23.65</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10.31</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10.31</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20810</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社会福利</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13.46</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13.46</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2081002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老年福利</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11.22</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11.22</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其他社会福利支出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残疾人事业</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0.96</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0.96</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2081199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其他残疾人事业支出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0.96</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0.96</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其他生活救助</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2.25</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2.25</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2082501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其他城市生活救助</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2.25</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2.25</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其他社会保障和就业支出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8.15</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8.15</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2089999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其他社会保障和就业支出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8.15</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8.15</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34.14</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34.14</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21007</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计划生育事务</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2100717</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计划生育服务</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27.27</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27.27</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23.27</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23.27</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6.44</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6.44</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医疗保障政策管理</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6.44</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6.44</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节能环保支出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34.84</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34.84</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21104</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自然生态保护</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32.14</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32.14</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2110401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生态保护</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25.74</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25.74</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2110402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农村环境保护</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森林保护修复</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2110501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森林管护</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15.05</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15.05</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21208</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国有土地使用权出让收入安排的支出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15.05</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15.05</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2120814</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农业生产发展支出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5.05</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5.05</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2120899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其他国有土地使用权出让收入安排的支出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739.32</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739.32</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30.70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30.70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其他农业农村支出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30.70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30.70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林业和草原</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32.27</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32.27</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2130205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森林资源培育</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18.00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18.00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2130234</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林业草原防灾减灾</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其他林业和草原支出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14.07</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14.07</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巩固脱贫攻坚成果衔接乡村振兴</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370.25</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370.25</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2130504</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农村基础设施建设</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184.86</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184.86</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生产发展</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54.42</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54.42</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其他巩固脱贫攻坚成果衔接乡村振兴支出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130.97</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130.97</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306.10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306.10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对村级公益事业建设的补助</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119.81</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119.81</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186.28</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186.28</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交通运输支出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公路水路运输</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2140106</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公路养护</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220</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自然资源海洋气象等支出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22001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自然资源事务</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2200106</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自然资源利用与保护</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1.47</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1.47</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31.53</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31.53</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31.53</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31.53</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31.53</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31.53</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46.74</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46.74</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应急管理事务</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21.80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21.80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2240199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其他应急管理支出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21.80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21.80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22406</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自然灾害防治</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2240601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地质灾害防治</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3.00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3.00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2240699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其他自然灾害防治支出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2.20</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22407</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自然灾害救灾及恢复重建支出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19.74</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19.74</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2240799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其他自然灾害救灾及恢复重建支出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19.74</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19.74</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5.63</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5.63</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22960</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彩票公益金安排的支出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5.63</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5.63</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2296002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用于社会福利的彩票公益金支出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5.63</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5.63</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7"/>
        <w:tblW w:w="15322" w:type="dxa"/>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tblPrEx>
          <w:tblCellMar>
            <w:top w:w="0" w:type="dxa"/>
            <w:left w:w="0" w:type="dxa"/>
            <w:bottom w:w="0" w:type="dxa"/>
            <w:right w:w="0" w:type="dxa"/>
          </w:tblCellMar>
        </w:tblPrEx>
        <w:trPr>
          <w:trHeight w:val="654" w:hRule="atLeast"/>
        </w:trPr>
        <w:tc>
          <w:tcPr>
            <w:tcW w:w="15322" w:type="dxa"/>
            <w:gridSpan w:val="8"/>
            <w:tcBorders>
              <w:top w:val="nil"/>
              <w:left w:val="nil"/>
              <w:bottom w:val="nil"/>
              <w:right w:val="nil"/>
            </w:tcBorders>
            <w:shd w:val="clear" w:color="auto" w:fill="auto"/>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6735" w:type="dxa"/>
            <w:gridSpan w:val="3"/>
            <w:vMerge w:val="restart"/>
            <w:tcBorders>
              <w:top w:val="nil"/>
              <w:left w:val="nil"/>
              <w:right w:val="nil"/>
            </w:tcBorders>
            <w:shd w:val="clear" w:color="auto" w:fill="auto"/>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巫山县当阳乡人民政府（本级）</w:t>
            </w:r>
          </w:p>
        </w:tc>
        <w:tc>
          <w:tcPr>
            <w:tcW w:w="1765"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624"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557"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692"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949"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6735" w:type="dxa"/>
            <w:gridSpan w:val="3"/>
            <w:vMerge w:val="continue"/>
            <w:tcBorders>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765"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624"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557"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692"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949"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48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18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15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16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19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129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3602" w:type="dxa"/>
            <w:vMerge w:val="restart"/>
            <w:tcBorders>
              <w:top w:val="nil"/>
              <w:left w:val="nil"/>
              <w:bottom w:val="single" w:color="000000" w:sz="4" w:space="0"/>
              <w:right w:val="nil"/>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29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602" w:type="dxa"/>
            <w:vMerge w:val="continue"/>
            <w:tcBorders>
              <w:top w:val="nil"/>
              <w:left w:val="nil"/>
              <w:bottom w:val="single" w:color="000000" w:sz="4" w:space="0"/>
              <w:right w:val="nil"/>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29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602" w:type="dxa"/>
            <w:vMerge w:val="continue"/>
            <w:tcBorders>
              <w:top w:val="nil"/>
              <w:left w:val="nil"/>
              <w:bottom w:val="single" w:color="000000" w:sz="4" w:space="0"/>
              <w:right w:val="nil"/>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29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602" w:type="dxa"/>
            <w:vMerge w:val="continue"/>
            <w:tcBorders>
              <w:top w:val="nil"/>
              <w:left w:val="nil"/>
              <w:bottom w:val="single" w:color="000000" w:sz="4" w:space="0"/>
              <w:right w:val="nil"/>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48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1,429.20</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473.70</w:t>
            </w:r>
          </w:p>
        </w:tc>
        <w:tc>
          <w:tcPr>
            <w:tcW w:w="16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955.50</w:t>
            </w:r>
          </w:p>
        </w:tc>
        <w:tc>
          <w:tcPr>
            <w:tcW w:w="15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6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9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411.64</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343.70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67.94</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408.29</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343.70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64.59</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343.70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343.70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其他政府办公厅（室）及相关机构事务支出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64.59</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64.59</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组织事务</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3.35</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3.35</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其他组织事务支出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3.35</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3.35</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4.91</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4.91</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4.91</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4.91</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其他文化和旅游支出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4.91</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4.91</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96.02</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71.20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24.82</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71.20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71.20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37.24</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37.24</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23.65</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23.65</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10.31</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10.31</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20810</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社会福利</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13.46</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13.46</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2081002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老年福利</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11.22</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11.22</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其他社会福利支出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残疾人事业</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0.96</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0.96</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2081199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其他残疾人事业支出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0.96</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0.96</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其他生活救助</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2.25</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2.25</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2082501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其他城市生活救助</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2.25</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2.25</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其他社会保障和就业支出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8.15</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8.15</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2089999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其他社会保障和就业支出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8.15</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8.15</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34.14</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27.27</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6.86</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21007</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计划生育事务</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2100717</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计划生育服务</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27.27</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27.27</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23.27</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23.27</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6.44</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6.44</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医疗保障政策管理</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6.44</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6.44</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节能环保支出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34.84</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34.84</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21104</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自然生态保护</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32.14</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32.14</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2110401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生态保护</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25.74</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25.74</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2110402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农村环境保护</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森林保护修复</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2110501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森林管护</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15.05</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15.05</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21208</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国有土地使用权出让收入安排的支出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15.05</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15.05</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2120814</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农业生产发展支出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5.05</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5.05</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2120899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其他国有土地使用权出让收入安排的支出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739.32</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739.32</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30.70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30.70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其他农业农村支出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30.70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30.70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林业和草原</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32.27</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32.27</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2130205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森林资源培育</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18.00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2130234</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林业草原防灾减灾</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其他林业和草原支出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14.07</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14.07</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巩固脱贫攻坚成果衔接乡村振兴</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370.25</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370.25</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2130504</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农村基础设施建设</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184.86</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184.86</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生产发展</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54.42</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54.42</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其他巩固脱贫攻坚成果衔接乡村振兴支出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130.97</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130.97</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306.10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306.10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对村级公益事业建设的补助</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119.81</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119.81</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186.28</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186.28</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交通运输支出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公路水路运输</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2140106</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公路养护</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220</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自然资源海洋气象等支出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22001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自然资源事务</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2200106</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自然资源利用与保护</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1.47</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1.47</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31.53</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31.53</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31.53</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31.53</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31.53</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31.53</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46.74</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46.74</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应急管理事务</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21.80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21.80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2240199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其他应急管理支出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21.80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21.80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22406</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自然灾害防治</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2240601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地质灾害防治</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3.00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3.00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2240699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其他自然灾害防治支出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2.20</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22407</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自然灾害救灾及恢复重建支出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19.74</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19.74</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2240799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其他自然灾害救灾及恢复重建支出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19.74</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19.74</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5.63</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5.63</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22960</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彩票公益金安排的支出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5.63</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5.63</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2296002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用于社会福利的彩票公益金支出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5.63</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5.63</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7"/>
        <w:tblW w:w="14678" w:type="dxa"/>
        <w:tblInd w:w="0" w:type="dxa"/>
        <w:tblLayout w:type="fixed"/>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14678" w:type="dxa"/>
            <w:gridSpan w:val="7"/>
            <w:tcBorders>
              <w:top w:val="nil"/>
              <w:left w:val="nil"/>
              <w:bottom w:val="nil"/>
              <w:right w:val="nil"/>
            </w:tcBorders>
            <w:shd w:val="clear" w:color="auto" w:fill="auto"/>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7667" w:type="dxa"/>
            <w:gridSpan w:val="3"/>
            <w:vMerge w:val="restart"/>
            <w:tcBorders>
              <w:top w:val="nil"/>
              <w:left w:val="nil"/>
              <w:right w:val="nil"/>
            </w:tcBorders>
            <w:shd w:val="clear" w:color="auto" w:fill="auto"/>
            <w:tcMar>
              <w:top w:w="15" w:type="dxa"/>
              <w:left w:w="15" w:type="dxa"/>
              <w:right w:w="15" w:type="dxa"/>
            </w:tcMar>
            <w:vAlign w:val="bottom"/>
          </w:tcPr>
          <w:p>
            <w:pPr>
              <w:spacing w:line="280" w:lineRule="exact"/>
              <w:rPr>
                <w:rFonts w:hint="default" w:cs="宋体"/>
                <w:color w:val="000000"/>
                <w:sz w:val="18"/>
                <w:szCs w:val="18"/>
              </w:rPr>
            </w:pPr>
            <w:r>
              <w:rPr>
                <w:rFonts w:cs="宋体"/>
                <w:sz w:val="20"/>
                <w:szCs w:val="20"/>
              </w:rPr>
              <w:t>单位</w:t>
            </w:r>
            <w:r>
              <w:rPr>
                <w:rFonts w:cs="宋体"/>
                <w:color w:val="000000"/>
                <w:sz w:val="20"/>
                <w:szCs w:val="20"/>
              </w:rPr>
              <w:t>：</w:t>
            </w:r>
            <w:r>
              <w:rPr>
                <w:color w:val="000000"/>
                <w:sz w:val="20"/>
              </w:rPr>
              <w:t>巫山县当阳乡人民政府（本级）</w:t>
            </w:r>
          </w:p>
        </w:tc>
        <w:tc>
          <w:tcPr>
            <w:tcW w:w="1694"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tcMar>
              <w:top w:w="15" w:type="dxa"/>
              <w:left w:w="15" w:type="dxa"/>
              <w:right w:w="15" w:type="dxa"/>
            </w:tcMar>
            <w:vAlign w:val="bottom"/>
          </w:tcPr>
          <w:p>
            <w:pPr>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7667" w:type="dxa"/>
            <w:gridSpan w:val="3"/>
            <w:vMerge w:val="continue"/>
            <w:tcBorders>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tcMar>
              <w:top w:w="15" w:type="dxa"/>
              <w:left w:w="15" w:type="dxa"/>
              <w:right w:w="15" w:type="dxa"/>
            </w:tcMar>
            <w:vAlign w:val="bottom"/>
          </w:tcPr>
          <w:p>
            <w:pPr>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44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101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29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15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317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7011"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29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317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1,408.53</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411.64</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411.64</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20.67</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4.91</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4.91</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96.02</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96.02</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34.14</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34.14</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34.84</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34.84</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15.05</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15.05</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739.32</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739.32</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7.93</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7.93</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1.47</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1.47</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31.53</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31.53</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46.74</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46.74</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5.63</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5.63</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1,429.20</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1,429.20</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1,408.53</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20.67</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1,429.20</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1,429.20</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1,408.53</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20.67</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bl>
    <w:p>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15322" w:type="dxa"/>
        <w:tblInd w:w="0" w:type="dxa"/>
        <w:tblLayout w:type="fixed"/>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15322" w:type="dxa"/>
            <w:gridSpan w:val="5"/>
            <w:tcBorders>
              <w:top w:val="nil"/>
              <w:left w:val="nil"/>
              <w:bottom w:val="nil"/>
              <w:right w:val="nil"/>
            </w:tcBorders>
            <w:shd w:val="clear" w:color="auto" w:fill="auto"/>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8684" w:type="dxa"/>
            <w:gridSpan w:val="3"/>
            <w:vMerge w:val="restart"/>
            <w:tcBorders>
              <w:top w:val="nil"/>
              <w:left w:val="nil"/>
              <w:right w:val="nil"/>
            </w:tcBorders>
            <w:shd w:val="clear" w:color="auto" w:fill="auto"/>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巫山县当阳乡人民政府（本级）</w:t>
            </w:r>
          </w:p>
        </w:tc>
        <w:tc>
          <w:tcPr>
            <w:tcW w:w="3297"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3341"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8684" w:type="dxa"/>
            <w:gridSpan w:val="3"/>
            <w:vMerge w:val="continue"/>
            <w:tcBorders>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3297"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3341"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53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9944"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130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407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330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329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334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130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7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2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3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130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7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2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3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5378"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1,408.53</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473.70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934.83</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411.64</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343.70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67.94</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408.29</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343.70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64.59</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343.70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343.70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其他政府办公厅（室）及相关机构事务支出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64.59</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64.59</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20132</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组织事务</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3.35</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3.35</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其他组织事务支出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3.35</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3.35</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4.91</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4.91</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4.91</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4.91</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其他文化和旅游支出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4.91</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4.91</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96.02</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71.20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24.82</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71.20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71.20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37.24</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37.24</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23.65</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23.65</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10.31</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10.31</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20810</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社会福利</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13.46</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13.46</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2081002</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老年福利</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11.22</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11.22</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其他社会福利支出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2.24</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2.24</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残疾人事业</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0.96</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0.96</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2081199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其他残疾人事业支出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0.96</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0.96</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其他生活救助</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2.25</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2.25</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2082501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其他城市生活救助</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2.25</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2.25</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其他社会保障和就业支出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8.15</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8.15</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2089999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其他社会保障和就业支出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8.15</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8.15</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34.14</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27.27</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6.86</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21007</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计划生育事务</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0.42</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0.42</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2100717</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计划生育服务</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0.42</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0.42</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27.27</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27.27</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23.27</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23.27</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4.00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6.44</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6.44</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医疗保障政策管理</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6.44</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6.44</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节能环保支出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34.84</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34.84</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21104</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自然生态保护</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32.14</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32.14</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2110401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生态保护</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25.74</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25.74</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2110402</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农村环境保护</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6.40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6.40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森林保护修复</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2110501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森林管护</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739.32</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739.32</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30.70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30.70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其他农业农村支出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30.70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30.70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21302</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林业和草原</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32.27</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32.27</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2130205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森林资源培育</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18.00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2130234</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林业草原防灾减灾</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0.20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0.20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其他林业和草原支出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14.07</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14.07</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巩固脱贫攻坚成果衔接乡村振兴</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370.25</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370.25</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2130504</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农村基础设施建设</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184.86</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184.86</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生产发展</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54.42</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54.42</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其他巩固脱贫攻坚成果衔接乡村振兴支出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130.97</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130.97</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306.10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306.10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对村级公益事业建设的补助</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119.81</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119.81</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186.28</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186.28</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交通运输支出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7.93</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7.93</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公路水路运输</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7.93</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7.93</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2140106</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公路养护</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7.93</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7.93</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220</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自然资源海洋气象等支出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1.47</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1.47</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22001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自然资源事务</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1.47</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1.47</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2200106</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自然资源利用与保护</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1.47</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1.47</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31.53</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31.53</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31.53</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31.53</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31.53</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31.53</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46.74</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46.74</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应急管理事务</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21.80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21.80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2240199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其他应急管理支出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21.80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21.80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22406</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自然灾害防治</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5.20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5.20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2240601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地质灾害防治</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3.00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3.00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2240699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其他自然灾害防治支出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2.20</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2.20</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22407</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自然灾害救灾及恢复重建支出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19.74</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19.74</w:t>
            </w:r>
          </w:p>
        </w:tc>
      </w:tr>
      <w:tr>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2240799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其他自然灾害救灾及恢复重建支出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19.74</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19.74</w:t>
            </w:r>
          </w:p>
        </w:tc>
      </w:tr>
    </w:tbl>
    <w:p>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7"/>
        <w:tblW w:w="15304" w:type="dxa"/>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tblPrEx>
          <w:tblCellMar>
            <w:top w:w="0" w:type="dxa"/>
            <w:left w:w="0" w:type="dxa"/>
            <w:bottom w:w="0" w:type="dxa"/>
            <w:right w:w="0" w:type="dxa"/>
          </w:tblCellMar>
        </w:tblPrEx>
        <w:trPr>
          <w:trHeight w:val="90" w:hRule="atLeast"/>
        </w:trPr>
        <w:tc>
          <w:tcPr>
            <w:tcW w:w="15304" w:type="dxa"/>
            <w:gridSpan w:val="9"/>
            <w:tcBorders>
              <w:top w:val="nil"/>
              <w:left w:val="nil"/>
              <w:bottom w:val="nil"/>
              <w:right w:val="nil"/>
            </w:tcBorders>
            <w:shd w:val="clear" w:color="auto" w:fill="auto"/>
            <w:tcMar>
              <w:top w:w="15" w:type="dxa"/>
              <w:left w:w="15" w:type="dxa"/>
              <w:right w:w="15" w:type="dxa"/>
            </w:tcMar>
            <w:vAlign w:val="bottom"/>
          </w:tcPr>
          <w:p>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8058" w:type="dxa"/>
            <w:gridSpan w:val="5"/>
            <w:vMerge w:val="restart"/>
            <w:tcBorders>
              <w:top w:val="nil"/>
              <w:left w:val="nil"/>
              <w:right w:val="nil"/>
            </w:tcBorders>
            <w:shd w:val="clear" w:color="auto" w:fill="auto"/>
            <w:tcMar>
              <w:top w:w="15" w:type="dxa"/>
              <w:left w:w="15" w:type="dxa"/>
              <w:right w:w="15" w:type="dxa"/>
            </w:tcMar>
            <w:vAlign w:val="bottom"/>
          </w:tcPr>
          <w:p>
            <w:pPr>
              <w:spacing w:line="280" w:lineRule="exact"/>
              <w:rPr>
                <w:rFonts w:hint="default" w:cs="宋体"/>
                <w:color w:val="000000"/>
                <w:sz w:val="18"/>
                <w:szCs w:val="18"/>
              </w:rPr>
            </w:pPr>
            <w:r>
              <w:rPr>
                <w:rFonts w:cs="宋体"/>
                <w:sz w:val="20"/>
                <w:szCs w:val="20"/>
              </w:rPr>
              <w:t>单位</w:t>
            </w:r>
            <w:r>
              <w:rPr>
                <w:rFonts w:cs="宋体"/>
                <w:color w:val="000000"/>
                <w:sz w:val="20"/>
                <w:szCs w:val="20"/>
              </w:rPr>
              <w:t>：</w:t>
            </w:r>
            <w:r>
              <w:rPr>
                <w:color w:val="000000"/>
                <w:sz w:val="20"/>
              </w:rPr>
              <w:t>巫山县当阳乡人民政府（本级）</w:t>
            </w:r>
          </w:p>
        </w:tc>
        <w:tc>
          <w:tcPr>
            <w:tcW w:w="1418"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873"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3463"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1492"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8058" w:type="dxa"/>
            <w:gridSpan w:val="5"/>
            <w:vMerge w:val="continue"/>
            <w:tcBorders>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1418"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873"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3463" w:type="dxa"/>
            <w:tcBorders>
              <w:top w:val="nil"/>
              <w:left w:val="nil"/>
              <w:bottom w:val="nil"/>
              <w:right w:val="nil"/>
            </w:tcBorders>
            <w:shd w:val="clear" w:color="auto" w:fill="auto"/>
            <w:tcMar>
              <w:top w:w="15" w:type="dxa"/>
              <w:left w:w="15" w:type="dxa"/>
              <w:right w:w="15" w:type="dxa"/>
            </w:tcMar>
            <w:vAlign w:val="bottom"/>
          </w:tcPr>
          <w:p>
            <w:pPr>
              <w:spacing w:line="200" w:lineRule="exact"/>
              <w:rPr>
                <w:rFonts w:hint="default" w:cs="宋体"/>
                <w:color w:val="000000"/>
                <w:sz w:val="18"/>
                <w:szCs w:val="18"/>
              </w:rPr>
            </w:pPr>
          </w:p>
        </w:tc>
        <w:tc>
          <w:tcPr>
            <w:tcW w:w="1492"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51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10151" w:type="dxa"/>
            <w:gridSpan w:val="6"/>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80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8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54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7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03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1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7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346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9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80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28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15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87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203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14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87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149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398.59</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61.91</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310</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79.30</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1.59</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30102</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79.63</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30103</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奖金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120.07</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31003</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30106</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31005</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30107</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水费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0.03</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31006</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30108</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37.24</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电费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2.00</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31007</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30109</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23.65</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8.10</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31008</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30110</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23.27</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31010</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30112</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0.70</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5.93</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31011</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30113</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31.53</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31012</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30114</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3.20</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31013</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30199</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303</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13.21</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0.50</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31021</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1.22</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31022</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30302</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0.65</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31099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30303</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312</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30304</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31201</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30305</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12.41</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31203</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30306</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4.57</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31204</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30307</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0.80</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31205</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30308</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9.35</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31206</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30309</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2.45</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31299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30310</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30231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2.23</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399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30311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30239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16.71</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39907</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30399</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30240</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39908</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30299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6.58</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39910</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39999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rPr>
                <w:rFonts w:hint="default" w:cs="宋体"/>
                <w:color w:val="000000"/>
                <w:sz w:val="18"/>
                <w:szCs w:val="18"/>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3612"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15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411.79</w:t>
            </w:r>
          </w:p>
        </w:tc>
        <w:tc>
          <w:tcPr>
            <w:tcW w:w="8659" w:type="dxa"/>
            <w:gridSpan w:val="5"/>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14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61.91</w:t>
            </w:r>
          </w:p>
        </w:tc>
      </w:tr>
    </w:tbl>
    <w:p>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15322" w:type="dxa"/>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15322" w:type="dxa"/>
            <w:gridSpan w:val="8"/>
            <w:tcBorders>
              <w:top w:val="nil"/>
              <w:left w:val="nil"/>
              <w:bottom w:val="nil"/>
              <w:right w:val="nil"/>
            </w:tcBorders>
            <w:shd w:val="clear" w:color="auto" w:fill="auto"/>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6615" w:type="dxa"/>
            <w:gridSpan w:val="3"/>
            <w:vMerge w:val="restart"/>
            <w:tcBorders>
              <w:top w:val="nil"/>
              <w:left w:val="nil"/>
              <w:right w:val="nil"/>
            </w:tcBorders>
            <w:shd w:val="clear" w:color="auto" w:fill="auto"/>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巫山县当阳乡人民政府（本级）</w:t>
            </w:r>
          </w:p>
        </w:tc>
        <w:tc>
          <w:tcPr>
            <w:tcW w:w="1701"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765"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839"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6615" w:type="dxa"/>
            <w:gridSpan w:val="3"/>
            <w:vMerge w:val="continue"/>
            <w:tcBorders>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765" w:type="dxa"/>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1839"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49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170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5167"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18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35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76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5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5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914"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20.67</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20.67</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20.67</w:t>
            </w:r>
          </w:p>
        </w:tc>
        <w:tc>
          <w:tcPr>
            <w:tcW w:w="18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49" w:hRule="atLeast"/>
        </w:trPr>
        <w:tc>
          <w:tcPr>
            <w:tcW w:w="132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212</w:t>
            </w:r>
          </w:p>
        </w:tc>
        <w:tc>
          <w:tcPr>
            <w:tcW w:w="359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城乡社区支出</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15.05</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15.05</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15.05</w:t>
            </w:r>
          </w:p>
        </w:tc>
        <w:tc>
          <w:tcPr>
            <w:tcW w:w="18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9" w:hRule="atLeast"/>
        </w:trPr>
        <w:tc>
          <w:tcPr>
            <w:tcW w:w="132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21208</w:t>
            </w:r>
          </w:p>
        </w:tc>
        <w:tc>
          <w:tcPr>
            <w:tcW w:w="359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国有土地使用权出让收入安排的支出</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15.05</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15.05</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15.05</w:t>
            </w:r>
          </w:p>
        </w:tc>
        <w:tc>
          <w:tcPr>
            <w:tcW w:w="18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9" w:hRule="atLeast"/>
        </w:trPr>
        <w:tc>
          <w:tcPr>
            <w:tcW w:w="132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2120814</w:t>
            </w:r>
          </w:p>
        </w:tc>
        <w:tc>
          <w:tcPr>
            <w:tcW w:w="359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农业生产发展支出</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5.05</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5.05</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5.05</w:t>
            </w:r>
          </w:p>
        </w:tc>
        <w:tc>
          <w:tcPr>
            <w:tcW w:w="18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9" w:hRule="atLeast"/>
        </w:trPr>
        <w:tc>
          <w:tcPr>
            <w:tcW w:w="132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2120899</w:t>
            </w:r>
          </w:p>
        </w:tc>
        <w:tc>
          <w:tcPr>
            <w:tcW w:w="359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其他国有土地使用权出让收入安排的支出</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10.00</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10.00</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10.00</w:t>
            </w:r>
          </w:p>
        </w:tc>
        <w:tc>
          <w:tcPr>
            <w:tcW w:w="18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9" w:hRule="atLeast"/>
        </w:trPr>
        <w:tc>
          <w:tcPr>
            <w:tcW w:w="132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229</w:t>
            </w:r>
          </w:p>
        </w:tc>
        <w:tc>
          <w:tcPr>
            <w:tcW w:w="359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其他支出</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5.63</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5.63</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5.63</w:t>
            </w:r>
          </w:p>
        </w:tc>
        <w:tc>
          <w:tcPr>
            <w:tcW w:w="18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9" w:hRule="atLeast"/>
        </w:trPr>
        <w:tc>
          <w:tcPr>
            <w:tcW w:w="132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22960</w:t>
            </w:r>
          </w:p>
        </w:tc>
        <w:tc>
          <w:tcPr>
            <w:tcW w:w="359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彩票公益金安排的支出</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5.63</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5.63</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5.63</w:t>
            </w:r>
          </w:p>
        </w:tc>
        <w:tc>
          <w:tcPr>
            <w:tcW w:w="18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9" w:hRule="atLeast"/>
        </w:trPr>
        <w:tc>
          <w:tcPr>
            <w:tcW w:w="132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2296002</w:t>
            </w:r>
          </w:p>
        </w:tc>
        <w:tc>
          <w:tcPr>
            <w:tcW w:w="359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用于社会福利的彩票公益金支出</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5.63</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5.63</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5.63</w:t>
            </w:r>
          </w:p>
        </w:tc>
        <w:tc>
          <w:tcPr>
            <w:tcW w:w="18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备注：1.本表反映单位本年度政府性基金预算财政拨款收入支出及结转和结余情况。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7"/>
        <w:tblW w:w="15322" w:type="dxa"/>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tblPrEx>
          <w:tblCellMar>
            <w:top w:w="0" w:type="dxa"/>
            <w:left w:w="0" w:type="dxa"/>
            <w:bottom w:w="0" w:type="dxa"/>
            <w:right w:w="0" w:type="dxa"/>
          </w:tblCellMar>
        </w:tblPrEx>
        <w:trPr>
          <w:trHeight w:val="650" w:hRule="atLeast"/>
        </w:trPr>
        <w:tc>
          <w:tcPr>
            <w:tcW w:w="15322" w:type="dxa"/>
            <w:gridSpan w:val="7"/>
            <w:tcBorders>
              <w:top w:val="nil"/>
              <w:left w:val="nil"/>
              <w:bottom w:val="nil"/>
              <w:right w:val="nil"/>
            </w:tcBorders>
            <w:shd w:val="clear" w:color="auto" w:fill="auto"/>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8182" w:type="dxa"/>
            <w:gridSpan w:val="3"/>
            <w:vMerge w:val="restart"/>
            <w:tcBorders>
              <w:top w:val="nil"/>
              <w:left w:val="nil"/>
              <w:right w:val="nil"/>
            </w:tcBorders>
            <w:shd w:val="clear" w:color="auto" w:fill="auto"/>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巫山县当阳乡人民政府（本级）</w:t>
            </w:r>
          </w:p>
        </w:tc>
        <w:tc>
          <w:tcPr>
            <w:tcW w:w="3739" w:type="dxa"/>
            <w:gridSpan w:val="3"/>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3401"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8182" w:type="dxa"/>
            <w:gridSpan w:val="3"/>
            <w:vMerge w:val="continue"/>
            <w:tcBorders>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3739" w:type="dxa"/>
            <w:gridSpan w:val="3"/>
            <w:tcBorders>
              <w:top w:val="nil"/>
              <w:left w:val="nil"/>
              <w:bottom w:val="nil"/>
              <w:right w:val="nil"/>
            </w:tcBorders>
            <w:shd w:val="clear" w:color="auto" w:fill="auto"/>
            <w:tcMar>
              <w:top w:w="15" w:type="dxa"/>
              <w:left w:w="15" w:type="dxa"/>
              <w:right w:w="15" w:type="dxa"/>
            </w:tcMar>
            <w:vAlign w:val="bottom"/>
          </w:tcPr>
          <w:p>
            <w:pPr>
              <w:rPr>
                <w:rFonts w:hint="default" w:cs="宋体"/>
                <w:color w:val="000000"/>
                <w:sz w:val="20"/>
                <w:szCs w:val="20"/>
              </w:rPr>
            </w:pPr>
          </w:p>
        </w:tc>
        <w:tc>
          <w:tcPr>
            <w:tcW w:w="3401" w:type="dxa"/>
            <w:tcBorders>
              <w:top w:val="nil"/>
              <w:left w:val="nil"/>
              <w:bottom w:val="nil"/>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104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129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361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3463"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346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3487"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346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34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488" w:hRule="atLeast"/>
        </w:trPr>
        <w:tc>
          <w:tcPr>
            <w:tcW w:w="129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p>
        </w:tc>
        <w:tc>
          <w:tcPr>
            <w:tcW w:w="36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default" w:cs="宋体"/>
                <w:color w:val="000000"/>
                <w:sz w:val="20"/>
                <w:szCs w:val="20"/>
              </w:rPr>
            </w:pPr>
          </w:p>
        </w:tc>
        <w:tc>
          <w:tcPr>
            <w:tcW w:w="346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4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7"/>
        <w:tblW w:w="14131" w:type="dxa"/>
        <w:tblInd w:w="0" w:type="dxa"/>
        <w:tblLayout w:type="fixed"/>
        <w:tblCellMar>
          <w:top w:w="0" w:type="dxa"/>
          <w:left w:w="170" w:type="dxa"/>
          <w:bottom w:w="0" w:type="dxa"/>
          <w:right w:w="170" w:type="dxa"/>
        </w:tblCellMar>
      </w:tblPr>
      <w:tblGrid>
        <w:gridCol w:w="3179"/>
        <w:gridCol w:w="2416"/>
        <w:gridCol w:w="2375"/>
        <w:gridCol w:w="3674"/>
        <w:gridCol w:w="2487"/>
      </w:tblGrid>
      <w:tr>
        <w:tblPrEx>
          <w:tblCellMar>
            <w:top w:w="0" w:type="dxa"/>
            <w:left w:w="170" w:type="dxa"/>
            <w:bottom w:w="0" w:type="dxa"/>
            <w:right w:w="170" w:type="dxa"/>
          </w:tblCellMar>
        </w:tblPrEx>
        <w:trPr>
          <w:trHeight w:val="343" w:hRule="atLeast"/>
        </w:trPr>
        <w:tc>
          <w:tcPr>
            <w:tcW w:w="14131" w:type="dxa"/>
            <w:gridSpan w:val="5"/>
            <w:shd w:val="clear" w:color="auto" w:fill="auto"/>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3179" w:type="dxa"/>
            <w:shd w:val="clear" w:color="auto" w:fill="auto"/>
            <w:tcMar>
              <w:top w:w="15" w:type="dxa"/>
              <w:left w:w="15" w:type="dxa"/>
              <w:right w:w="15" w:type="dxa"/>
            </w:tcMar>
            <w:vAlign w:val="bottom"/>
          </w:tcPr>
          <w:p>
            <w:pPr>
              <w:spacing w:line="280" w:lineRule="exact"/>
              <w:rPr>
                <w:rFonts w:hint="default" w:cs="宋体"/>
                <w:color w:val="000000"/>
                <w:kern w:val="2"/>
                <w:sz w:val="20"/>
                <w:szCs w:val="20"/>
              </w:rPr>
            </w:pPr>
          </w:p>
        </w:tc>
        <w:tc>
          <w:tcPr>
            <w:tcW w:w="2416" w:type="dxa"/>
            <w:shd w:val="clear" w:color="auto" w:fill="auto"/>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2375" w:type="dxa"/>
            <w:shd w:val="clear" w:color="auto" w:fill="auto"/>
            <w:tcMar>
              <w:top w:w="15" w:type="dxa"/>
              <w:left w:w="15" w:type="dxa"/>
              <w:right w:w="15" w:type="dxa"/>
            </w:tcMar>
            <w:vAlign w:val="bottom"/>
          </w:tcPr>
          <w:p>
            <w:pPr>
              <w:spacing w:line="280" w:lineRule="exact"/>
              <w:jc w:val="right"/>
              <w:rPr>
                <w:rFonts w:hint="default" w:cs="宋体"/>
                <w:color w:val="000000"/>
                <w:kern w:val="2"/>
                <w:sz w:val="20"/>
                <w:szCs w:val="20"/>
              </w:rPr>
            </w:pPr>
          </w:p>
        </w:tc>
        <w:tc>
          <w:tcPr>
            <w:tcW w:w="3674" w:type="dxa"/>
            <w:shd w:val="clear" w:color="auto" w:fill="auto"/>
            <w:tcMar>
              <w:top w:w="15" w:type="dxa"/>
              <w:left w:w="15" w:type="dxa"/>
              <w:right w:w="15" w:type="dxa"/>
            </w:tcMar>
            <w:vAlign w:val="bottom"/>
          </w:tcPr>
          <w:p>
            <w:pPr>
              <w:spacing w:line="280" w:lineRule="exact"/>
              <w:rPr>
                <w:rFonts w:hint="default" w:cs="宋体"/>
                <w:color w:val="000000"/>
                <w:kern w:val="2"/>
                <w:sz w:val="20"/>
                <w:szCs w:val="20"/>
              </w:rPr>
            </w:pPr>
          </w:p>
        </w:tc>
        <w:tc>
          <w:tcPr>
            <w:tcW w:w="2487" w:type="dxa"/>
            <w:shd w:val="clear" w:color="auto" w:fill="auto"/>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5595" w:type="dxa"/>
            <w:gridSpan w:val="2"/>
            <w:tcBorders>
              <w:top w:val="nil"/>
              <w:left w:val="nil"/>
              <w:bottom w:val="single" w:color="auto" w:sz="4" w:space="0"/>
              <w:right w:val="nil"/>
            </w:tcBorders>
            <w:shd w:val="clear" w:color="auto" w:fill="auto"/>
            <w:tcMar>
              <w:top w:w="15" w:type="dxa"/>
              <w:left w:w="15" w:type="dxa"/>
              <w:right w:w="15" w:type="dxa"/>
            </w:tcMar>
            <w:vAlign w:val="bottom"/>
          </w:tcPr>
          <w:p>
            <w:pPr>
              <w:spacing w:line="280" w:lineRule="exact"/>
              <w:rPr>
                <w:rFonts w:hint="default" w:cs="宋体"/>
                <w:color w:val="000000"/>
                <w:kern w:val="2"/>
                <w:sz w:val="20"/>
                <w:szCs w:val="20"/>
              </w:rPr>
            </w:pPr>
            <w:r>
              <w:rPr>
                <w:rFonts w:cs="宋体"/>
                <w:kern w:val="2"/>
                <w:sz w:val="20"/>
                <w:szCs w:val="20"/>
              </w:rPr>
              <w:t>单位</w:t>
            </w:r>
            <w:r>
              <w:rPr>
                <w:rFonts w:cs="宋体"/>
                <w:color w:val="000000"/>
                <w:kern w:val="2"/>
                <w:sz w:val="20"/>
                <w:szCs w:val="20"/>
              </w:rPr>
              <w:t>：</w:t>
            </w:r>
            <w:r>
              <w:rPr>
                <w:color w:val="000000"/>
                <w:sz w:val="20"/>
              </w:rPr>
              <w:t>巫山县当阳乡人民政府（本级）</w:t>
            </w:r>
          </w:p>
        </w:tc>
        <w:tc>
          <w:tcPr>
            <w:tcW w:w="2375" w:type="dxa"/>
            <w:tcBorders>
              <w:top w:val="nil"/>
              <w:left w:val="nil"/>
              <w:bottom w:val="single" w:color="auto" w:sz="4" w:space="0"/>
              <w:right w:val="nil"/>
            </w:tcBorders>
            <w:shd w:val="clear" w:color="auto" w:fill="auto"/>
            <w:tcMar>
              <w:top w:w="15" w:type="dxa"/>
              <w:left w:w="15" w:type="dxa"/>
              <w:right w:w="15" w:type="dxa"/>
            </w:tcMar>
            <w:vAlign w:val="bottom"/>
          </w:tcPr>
          <w:p>
            <w:pPr>
              <w:spacing w:line="280" w:lineRule="exact"/>
              <w:jc w:val="right"/>
              <w:rPr>
                <w:rFonts w:hint="default" w:cs="宋体"/>
                <w:color w:val="000000"/>
                <w:kern w:val="2"/>
                <w:sz w:val="20"/>
                <w:szCs w:val="20"/>
              </w:rPr>
            </w:pPr>
          </w:p>
        </w:tc>
        <w:tc>
          <w:tcPr>
            <w:tcW w:w="3674" w:type="dxa"/>
            <w:tcBorders>
              <w:top w:val="nil"/>
              <w:left w:val="nil"/>
              <w:bottom w:val="single" w:color="auto" w:sz="4" w:space="0"/>
              <w:right w:val="nil"/>
            </w:tcBorders>
            <w:shd w:val="clear" w:color="auto" w:fill="auto"/>
            <w:tcMar>
              <w:top w:w="15" w:type="dxa"/>
              <w:left w:w="15" w:type="dxa"/>
              <w:right w:w="15" w:type="dxa"/>
            </w:tcMar>
            <w:vAlign w:val="bottom"/>
          </w:tcPr>
          <w:p>
            <w:pPr>
              <w:spacing w:line="280" w:lineRule="exact"/>
              <w:rPr>
                <w:rFonts w:hint="default" w:cs="宋体"/>
                <w:color w:val="000000"/>
                <w:kern w:val="2"/>
                <w:sz w:val="20"/>
                <w:szCs w:val="20"/>
              </w:rPr>
            </w:pPr>
          </w:p>
        </w:tc>
        <w:tc>
          <w:tcPr>
            <w:tcW w:w="2487" w:type="dxa"/>
            <w:tcBorders>
              <w:top w:val="nil"/>
              <w:left w:val="nil"/>
              <w:bottom w:val="single" w:color="auto" w:sz="4" w:space="0"/>
              <w:right w:val="nil"/>
            </w:tcBorders>
            <w:shd w:val="clear" w:color="auto" w:fill="auto"/>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61.91</w:t>
            </w: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2.88</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2.88</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61.91</w:t>
            </w: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2.23</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2.23</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2.23</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2.23</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0.65</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0.65</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0.65</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217</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4.32</w:t>
            </w: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4.32</w:t>
            </w: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217</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4.32</w:t>
            </w:r>
          </w:p>
        </w:tc>
      </w:tr>
      <w:tr>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4.32</w:t>
            </w:r>
          </w:p>
        </w:tc>
      </w:tr>
      <w:tr>
        <w:tblPrEx>
          <w:tblCellMar>
            <w:top w:w="0" w:type="dxa"/>
            <w:left w:w="170" w:type="dxa"/>
            <w:bottom w:w="0" w:type="dxa"/>
            <w:right w:w="170" w:type="dxa"/>
          </w:tblCellMar>
        </w:tblPrEx>
        <w:trPr>
          <w:trHeight w:val="286"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1.52</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rPr>
                <w:rFonts w:hint="default" w:cs="宋体"/>
                <w:color w:val="000000"/>
                <w:kern w:val="2"/>
                <w:sz w:val="16"/>
                <w:szCs w:val="16"/>
              </w:rPr>
            </w:pP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1.22</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rPr>
                <w:rFonts w:hint="default" w:cs="宋体"/>
                <w:color w:val="000000"/>
                <w:kern w:val="2"/>
                <w:sz w:val="16"/>
                <w:szCs w:val="16"/>
              </w:rPr>
            </w:pP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12.29</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280" w:lineRule="exact"/>
              <w:rPr>
                <w:rFonts w:hint="default" w:cs="宋体"/>
                <w:color w:val="000000"/>
                <w:sz w:val="16"/>
                <w:szCs w:val="16"/>
              </w:rPr>
            </w:pP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pPr>
              <w:spacing w:line="280" w:lineRule="exact"/>
              <w:jc w:val="right"/>
              <w:rPr>
                <w:rFonts w:hint="default" w:cs="宋体"/>
                <w:color w:val="000000"/>
                <w:sz w:val="16"/>
                <w:szCs w:val="16"/>
              </w:rPr>
            </w:pPr>
          </w:p>
        </w:tc>
      </w:tr>
    </w:tbl>
    <w:p>
      <w:pPr>
        <w:rPr>
          <w:rFonts w:hint="default" w:cs="宋体"/>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p>
    <w:p>
      <w:pPr>
        <w:rPr>
          <w:rFonts w:hint="default" w:cs="宋体"/>
          <w:sz w:val="18"/>
          <w:szCs w:val="18"/>
        </w:rPr>
      </w:pPr>
    </w:p>
    <w:p>
      <w:pPr>
        <w:rPr>
          <w:rFonts w:hint="default" w:cs="宋体"/>
          <w:sz w:val="18"/>
          <w:szCs w:val="18"/>
        </w:rPr>
      </w:pPr>
    </w:p>
    <w:tbl>
      <w:tblPr>
        <w:tblStyle w:val="7"/>
        <w:tblW w:w="5000" w:type="pct"/>
        <w:tblInd w:w="0" w:type="dxa"/>
        <w:tblLayout w:type="autofit"/>
        <w:tblCellMar>
          <w:top w:w="0" w:type="dxa"/>
          <w:left w:w="108" w:type="dxa"/>
          <w:bottom w:w="0" w:type="dxa"/>
          <w:right w:w="108" w:type="dxa"/>
        </w:tblCellMar>
      </w:tblPr>
      <w:tblGrid>
        <w:gridCol w:w="2293"/>
        <w:gridCol w:w="1368"/>
        <w:gridCol w:w="1368"/>
        <w:gridCol w:w="1476"/>
        <w:gridCol w:w="1116"/>
        <w:gridCol w:w="1528"/>
        <w:gridCol w:w="1386"/>
        <w:gridCol w:w="1386"/>
        <w:gridCol w:w="936"/>
        <w:gridCol w:w="1296"/>
        <w:gridCol w:w="1356"/>
      </w:tblGrid>
      <w:tr>
        <w:tblPrEx>
          <w:tblCellMar>
            <w:top w:w="0" w:type="dxa"/>
            <w:left w:w="108" w:type="dxa"/>
            <w:bottom w:w="0" w:type="dxa"/>
            <w:right w:w="108" w:type="dxa"/>
          </w:tblCellMar>
        </w:tblPrEx>
        <w:trPr>
          <w:trHeight w:val="8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sz w:val="18"/>
                <w:szCs w:val="18"/>
              </w:rPr>
            </w:pPr>
            <w:r>
              <w:rPr>
                <w:rFonts w:cs="宋体"/>
                <w:sz w:val="18"/>
                <w:szCs w:val="18"/>
              </w:rPr>
              <w:t>2024年度部门整体绩效自评表</w:t>
            </w:r>
          </w:p>
        </w:tc>
      </w:tr>
      <w:tr>
        <w:tblPrEx>
          <w:tblCellMar>
            <w:top w:w="0" w:type="dxa"/>
            <w:left w:w="108" w:type="dxa"/>
            <w:bottom w:w="0" w:type="dxa"/>
            <w:right w:w="108" w:type="dxa"/>
          </w:tblCellMar>
        </w:tblPrEx>
        <w:trPr>
          <w:trHeight w:val="5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状态：绩效审核已审</w:t>
            </w:r>
          </w:p>
        </w:tc>
      </w:tr>
      <w:tr>
        <w:tblPrEx>
          <w:tblCellMar>
            <w:top w:w="0" w:type="dxa"/>
            <w:left w:w="108" w:type="dxa"/>
            <w:bottom w:w="0" w:type="dxa"/>
            <w:right w:w="108" w:type="dxa"/>
          </w:tblCellMar>
        </w:tblPrEx>
        <w:trPr>
          <w:trHeight w:val="500" w:hRule="atLeast"/>
        </w:trPr>
        <w:tc>
          <w:tcPr>
            <w:tcW w:w="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项目名称：</w:t>
            </w: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巫山县当阳乡人民政府整体自评</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项目编码：</w:t>
            </w:r>
          </w:p>
        </w:tc>
        <w:tc>
          <w:tcPr>
            <w:tcW w:w="91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50023700024P000163</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自评总分：</w:t>
            </w:r>
          </w:p>
        </w:tc>
        <w:tc>
          <w:tcPr>
            <w:tcW w:w="77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99.95</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项目主管部门：</w:t>
            </w:r>
          </w:p>
        </w:tc>
        <w:tc>
          <w:tcPr>
            <w:tcW w:w="65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920-巫山县当阳乡人民政府</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财政归口处室：</w:t>
            </w:r>
          </w:p>
        </w:tc>
        <w:tc>
          <w:tcPr>
            <w:tcW w:w="91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006-农业农村科</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部门联系人：</w:t>
            </w:r>
          </w:p>
        </w:tc>
        <w:tc>
          <w:tcPr>
            <w:tcW w:w="77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曾姣</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联系电话：</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cs="宋体"/>
                <w:sz w:val="18"/>
                <w:szCs w:val="18"/>
              </w:rPr>
            </w:pPr>
            <w:r>
              <w:rPr>
                <w:rFonts w:cs="宋体"/>
                <w:sz w:val="18"/>
                <w:szCs w:val="18"/>
              </w:rPr>
              <w:t>15696539561</w:t>
            </w:r>
          </w:p>
        </w:tc>
      </w:tr>
      <w:tr>
        <w:tblPrEx>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资金情况</w:t>
            </w:r>
          </w:p>
        </w:tc>
      </w:tr>
      <w:tr>
        <w:tblPrEx>
          <w:tblCellMar>
            <w:top w:w="0" w:type="dxa"/>
            <w:left w:w="108" w:type="dxa"/>
            <w:bottom w:w="0" w:type="dxa"/>
            <w:right w:w="108" w:type="dxa"/>
          </w:tblCellMar>
        </w:tblPrEx>
        <w:trPr>
          <w:trHeight w:val="500" w:hRule="atLeast"/>
        </w:trPr>
        <w:tc>
          <w:tcPr>
            <w:tcW w:w="109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8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年初预算数</w:t>
            </w:r>
          </w:p>
        </w:tc>
        <w:tc>
          <w:tcPr>
            <w:tcW w:w="91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全年（调整）预算数</w:t>
            </w:r>
          </w:p>
        </w:tc>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全年执行数</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执行率</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执行率权重</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执行率得分</w:t>
            </w:r>
          </w:p>
        </w:tc>
      </w:tr>
      <w:tr>
        <w:trPr>
          <w:trHeight w:val="500" w:hRule="atLeast"/>
        </w:trPr>
        <w:tc>
          <w:tcPr>
            <w:tcW w:w="765" w:type="pct"/>
            <w:tcBorders>
              <w:top w:val="single" w:color="000000" w:sz="4" w:space="0"/>
              <w:left w:val="single" w:color="000000" w:sz="4" w:space="0"/>
              <w:bottom w:val="single" w:color="000000" w:sz="4" w:space="0"/>
              <w:right w:val="nil"/>
            </w:tcBorders>
            <w:shd w:val="clear" w:color="auto" w:fill="auto"/>
            <w:vAlign w:val="center"/>
          </w:tcPr>
          <w:p>
            <w:pPr>
              <w:rPr>
                <w:rFonts w:hint="default" w:cs="宋体"/>
                <w:sz w:val="18"/>
                <w:szCs w:val="18"/>
              </w:rPr>
            </w:pPr>
            <w:r>
              <w:rPr>
                <w:rFonts w:cs="宋体"/>
                <w:sz w:val="18"/>
                <w:szCs w:val="18"/>
              </w:rPr>
              <w:t>年度总金额</w:t>
            </w:r>
          </w:p>
        </w:tc>
        <w:tc>
          <w:tcPr>
            <w:tcW w:w="326"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p>
        </w:tc>
        <w:tc>
          <w:tcPr>
            <w:tcW w:w="325"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490"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9,776,631.33 </w:t>
            </w:r>
          </w:p>
        </w:tc>
        <w:tc>
          <w:tcPr>
            <w:tcW w:w="370"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542" w:type="pct"/>
            <w:tcBorders>
              <w:top w:val="single" w:color="000000" w:sz="4" w:space="0"/>
              <w:left w:val="nil"/>
              <w:bottom w:val="single" w:color="000000" w:sz="4" w:space="0"/>
              <w:right w:val="single" w:color="000000" w:sz="4" w:space="0"/>
            </w:tcBorders>
            <w:shd w:val="clear" w:color="auto" w:fill="auto"/>
            <w:vAlign w:val="center"/>
          </w:tcPr>
          <w:p>
            <w:pPr>
              <w:rPr>
                <w:rFonts w:hint="default" w:cs="宋体"/>
                <w:sz w:val="18"/>
                <w:szCs w:val="18"/>
              </w:rPr>
            </w:pPr>
            <w:r>
              <w:rPr>
                <w:rFonts w:cs="宋体"/>
                <w:sz w:val="18"/>
                <w:szCs w:val="18"/>
              </w:rPr>
              <w:t xml:space="preserve">18,062,254.62 </w:t>
            </w:r>
          </w:p>
        </w:tc>
        <w:tc>
          <w:tcPr>
            <w:tcW w:w="460"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461"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17,977,154.62 </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765" w:type="pct"/>
            <w:tcBorders>
              <w:top w:val="single" w:color="000000" w:sz="4" w:space="0"/>
              <w:left w:val="single" w:color="000000" w:sz="4" w:space="0"/>
              <w:bottom w:val="single" w:color="000000" w:sz="4" w:space="0"/>
              <w:right w:val="nil"/>
            </w:tcBorders>
            <w:shd w:val="clear" w:color="auto" w:fill="auto"/>
            <w:vAlign w:val="center"/>
          </w:tcPr>
          <w:p>
            <w:pPr>
              <w:rPr>
                <w:rFonts w:hint="default" w:cs="宋体"/>
                <w:sz w:val="18"/>
                <w:szCs w:val="18"/>
              </w:rPr>
            </w:pPr>
            <w:r>
              <w:rPr>
                <w:rFonts w:cs="宋体"/>
                <w:sz w:val="18"/>
                <w:szCs w:val="18"/>
              </w:rPr>
              <w:t>其中：财政拨款</w:t>
            </w:r>
          </w:p>
        </w:tc>
        <w:tc>
          <w:tcPr>
            <w:tcW w:w="326"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p>
        </w:tc>
        <w:tc>
          <w:tcPr>
            <w:tcW w:w="325"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490"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9,776,631.33 </w:t>
            </w:r>
          </w:p>
        </w:tc>
        <w:tc>
          <w:tcPr>
            <w:tcW w:w="370"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542" w:type="pct"/>
            <w:tcBorders>
              <w:top w:val="single" w:color="000000" w:sz="4" w:space="0"/>
              <w:left w:val="nil"/>
              <w:bottom w:val="single" w:color="000000" w:sz="4" w:space="0"/>
              <w:right w:val="single" w:color="000000" w:sz="4" w:space="0"/>
            </w:tcBorders>
            <w:shd w:val="clear" w:color="auto" w:fill="auto"/>
            <w:vAlign w:val="center"/>
          </w:tcPr>
          <w:p>
            <w:pPr>
              <w:rPr>
                <w:rFonts w:hint="default" w:cs="宋体"/>
                <w:sz w:val="18"/>
                <w:szCs w:val="18"/>
              </w:rPr>
            </w:pPr>
            <w:r>
              <w:rPr>
                <w:rFonts w:cs="宋体"/>
                <w:sz w:val="18"/>
                <w:szCs w:val="18"/>
              </w:rPr>
              <w:t xml:space="preserve">18,062,254.62 </w:t>
            </w:r>
          </w:p>
        </w:tc>
        <w:tc>
          <w:tcPr>
            <w:tcW w:w="460"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461"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17,977,154.62 </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99.53</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10.00</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9.95 </w:t>
            </w:r>
          </w:p>
        </w:tc>
      </w:tr>
      <w:tr>
        <w:tblPrEx>
          <w:tblCellMar>
            <w:top w:w="0" w:type="dxa"/>
            <w:left w:w="108" w:type="dxa"/>
            <w:bottom w:w="0" w:type="dxa"/>
            <w:right w:w="108" w:type="dxa"/>
          </w:tblCellMar>
        </w:tblPrEx>
        <w:trPr>
          <w:trHeight w:val="500" w:hRule="atLeast"/>
        </w:trPr>
        <w:tc>
          <w:tcPr>
            <w:tcW w:w="765" w:type="pct"/>
            <w:tcBorders>
              <w:top w:val="single" w:color="000000" w:sz="4" w:space="0"/>
              <w:left w:val="single" w:color="000000" w:sz="4" w:space="0"/>
              <w:bottom w:val="single" w:color="000000" w:sz="4" w:space="0"/>
              <w:right w:val="nil"/>
            </w:tcBorders>
            <w:shd w:val="clear" w:color="auto" w:fill="auto"/>
            <w:vAlign w:val="center"/>
          </w:tcPr>
          <w:p>
            <w:pPr>
              <w:rPr>
                <w:rFonts w:hint="default" w:cs="宋体"/>
                <w:sz w:val="18"/>
                <w:szCs w:val="18"/>
              </w:rPr>
            </w:pPr>
            <w:r>
              <w:rPr>
                <w:rFonts w:cs="宋体"/>
                <w:sz w:val="18"/>
                <w:szCs w:val="18"/>
              </w:rPr>
              <w:t>一般公共预算</w:t>
            </w:r>
          </w:p>
        </w:tc>
        <w:tc>
          <w:tcPr>
            <w:tcW w:w="326"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p>
        </w:tc>
        <w:tc>
          <w:tcPr>
            <w:tcW w:w="325"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490"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9,776,631.33 </w:t>
            </w:r>
          </w:p>
        </w:tc>
        <w:tc>
          <w:tcPr>
            <w:tcW w:w="370"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542" w:type="pct"/>
            <w:tcBorders>
              <w:top w:val="single" w:color="000000" w:sz="4" w:space="0"/>
              <w:left w:val="nil"/>
              <w:bottom w:val="single" w:color="000000" w:sz="4" w:space="0"/>
              <w:right w:val="single" w:color="000000" w:sz="4" w:space="0"/>
            </w:tcBorders>
            <w:shd w:val="clear" w:color="auto" w:fill="auto"/>
            <w:vAlign w:val="center"/>
          </w:tcPr>
          <w:p>
            <w:pPr>
              <w:rPr>
                <w:rFonts w:hint="default" w:cs="宋体"/>
                <w:sz w:val="18"/>
                <w:szCs w:val="18"/>
              </w:rPr>
            </w:pPr>
            <w:r>
              <w:rPr>
                <w:rFonts w:cs="宋体"/>
                <w:sz w:val="18"/>
                <w:szCs w:val="18"/>
              </w:rPr>
              <w:t xml:space="preserve">17,855,509.62 </w:t>
            </w:r>
          </w:p>
        </w:tc>
        <w:tc>
          <w:tcPr>
            <w:tcW w:w="460"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461"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17,770,409.62 </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99.52</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绩效目标</w:t>
            </w:r>
          </w:p>
        </w:tc>
      </w:tr>
      <w:tr>
        <w:tblPrEx>
          <w:tblCellMar>
            <w:top w:w="0" w:type="dxa"/>
            <w:left w:w="108" w:type="dxa"/>
            <w:bottom w:w="0" w:type="dxa"/>
            <w:right w:w="108" w:type="dxa"/>
          </w:tblCellMar>
        </w:tblPrEx>
        <w:trPr>
          <w:trHeight w:val="500" w:hRule="atLeast"/>
        </w:trPr>
        <w:tc>
          <w:tcPr>
            <w:tcW w:w="190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年初绩效目标</w:t>
            </w:r>
          </w:p>
        </w:tc>
        <w:tc>
          <w:tcPr>
            <w:tcW w:w="183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全年（调整）绩效目标</w:t>
            </w:r>
          </w:p>
        </w:tc>
        <w:tc>
          <w:tcPr>
            <w:tcW w:w="12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全年目标实际完成情况</w:t>
            </w:r>
          </w:p>
        </w:tc>
      </w:tr>
      <w:tr>
        <w:tblPrEx>
          <w:tblCellMar>
            <w:top w:w="0" w:type="dxa"/>
            <w:left w:w="108" w:type="dxa"/>
            <w:bottom w:w="0" w:type="dxa"/>
            <w:right w:w="108" w:type="dxa"/>
          </w:tblCellMar>
        </w:tblPrEx>
        <w:trPr>
          <w:trHeight w:val="1600" w:hRule="atLeast"/>
        </w:trPr>
        <w:tc>
          <w:tcPr>
            <w:tcW w:w="1908" w:type="pct"/>
            <w:gridSpan w:val="4"/>
            <w:tcBorders>
              <w:top w:val="single" w:color="000000" w:sz="4" w:space="0"/>
              <w:left w:val="single" w:color="000000" w:sz="4" w:space="0"/>
              <w:bottom w:val="single" w:color="000000" w:sz="4" w:space="0"/>
              <w:right w:val="single" w:color="000000" w:sz="4" w:space="0"/>
            </w:tcBorders>
            <w:shd w:val="clear" w:color="auto" w:fill="auto"/>
          </w:tcPr>
          <w:p>
            <w:pPr>
              <w:rPr>
                <w:rFonts w:hint="default" w:cs="宋体"/>
                <w:sz w:val="18"/>
                <w:szCs w:val="18"/>
              </w:rPr>
            </w:pPr>
            <w:r>
              <w:rPr>
                <w:rFonts w:cs="宋体"/>
                <w:sz w:val="18"/>
                <w:szCs w:val="18"/>
              </w:rPr>
              <w:t>完成支出预算9557240.21元，保障全年基本运转。政府其他综合性事务，用于保障政府整体运转;用于村级公益事业，为村级发展规划提供更好的资金保障。;用于村、居组织的办公经费，维持村、居办公日常运转;用于服务群众工作经费，不断强化内部管理，积极整合社会资源，为努力服务好群众明确方向；用于党组织的活动经费，发挥党组织作用;离任村干部在离任之后更需要党和政府的关心爱护，为他们提供了基本生活保障，解决后顾之忧;为在职村、居干部提供报酬，提高工作积极性;保障驻村工作队基本生活和办公所需;根据乡镇履行职能和自身特殊事项的需要，设置相应的专项业务经费，按乡镇类别或人口数据核定，列入乡镇财政预算;改善乡村两级办学的环境，改善农村教育的薄弱环境;保障三支一扶人员工资、绩效及五险一金;保障单位遗属人员生活。</w:t>
            </w:r>
          </w:p>
        </w:tc>
        <w:tc>
          <w:tcPr>
            <w:tcW w:w="1835" w:type="pct"/>
            <w:gridSpan w:val="4"/>
            <w:tcBorders>
              <w:top w:val="single" w:color="000000" w:sz="4" w:space="0"/>
              <w:left w:val="single" w:color="000000" w:sz="4" w:space="0"/>
              <w:bottom w:val="single" w:color="000000" w:sz="4" w:space="0"/>
              <w:right w:val="single" w:color="000000" w:sz="4" w:space="0"/>
            </w:tcBorders>
            <w:shd w:val="clear" w:color="auto" w:fill="auto"/>
          </w:tcPr>
          <w:p>
            <w:pPr>
              <w:rPr>
                <w:rFonts w:hint="default" w:cs="宋体"/>
                <w:sz w:val="18"/>
                <w:szCs w:val="18"/>
              </w:rPr>
            </w:pPr>
          </w:p>
        </w:tc>
        <w:tc>
          <w:tcPr>
            <w:tcW w:w="1256" w:type="pct"/>
            <w:gridSpan w:val="3"/>
            <w:tcBorders>
              <w:top w:val="single" w:color="000000" w:sz="4" w:space="0"/>
              <w:left w:val="single" w:color="000000" w:sz="4" w:space="0"/>
              <w:bottom w:val="single" w:color="000000" w:sz="4" w:space="0"/>
              <w:right w:val="single" w:color="000000" w:sz="4" w:space="0"/>
            </w:tcBorders>
            <w:shd w:val="clear" w:color="auto" w:fill="auto"/>
          </w:tcPr>
          <w:p>
            <w:pPr>
              <w:rPr>
                <w:rFonts w:hint="default" w:cs="宋体"/>
                <w:sz w:val="18"/>
                <w:szCs w:val="18"/>
              </w:rPr>
            </w:pPr>
            <w:r>
              <w:rPr>
                <w:rFonts w:cs="宋体"/>
                <w:sz w:val="18"/>
                <w:szCs w:val="18"/>
              </w:rPr>
              <w:t>全乡各项工作任务圆满完成，按时足额发放人员津补贴，顺利完成各项基础设施建设，保障各村（居）工作的顺利开展。</w:t>
            </w:r>
          </w:p>
        </w:tc>
      </w:tr>
      <w:tr>
        <w:tblPrEx>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绩效指标</w:t>
            </w:r>
          </w:p>
        </w:tc>
      </w:tr>
      <w:tr>
        <w:tblPrEx>
          <w:tblCellMar>
            <w:top w:w="0" w:type="dxa"/>
            <w:left w:w="108" w:type="dxa"/>
            <w:bottom w:w="0" w:type="dxa"/>
            <w:right w:w="108" w:type="dxa"/>
          </w:tblCellMar>
        </w:tblPrEx>
        <w:trPr>
          <w:trHeight w:val="500" w:hRule="atLeast"/>
        </w:trPr>
        <w:tc>
          <w:tcPr>
            <w:tcW w:w="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指标名称</w:t>
            </w:r>
          </w:p>
        </w:tc>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计量单位</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指标性质</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指标值</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全年完成值</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偏离度（%）</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得分系数（%）</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指标权重</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指标得分</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是否核心指标</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说明</w:t>
            </w:r>
          </w:p>
        </w:tc>
      </w:tr>
      <w:tr>
        <w:trPr>
          <w:trHeight w:val="500" w:hRule="atLeast"/>
        </w:trPr>
        <w:tc>
          <w:tcPr>
            <w:tcW w:w="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保障在职人员工资人数</w:t>
            </w:r>
          </w:p>
        </w:tc>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人/年</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30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35</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16.67</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是</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基础设施建设合格率</w:t>
            </w:r>
          </w:p>
        </w:tc>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是</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解决群众困难完成度</w:t>
            </w:r>
          </w:p>
        </w:tc>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是</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人均可支配经济收入</w:t>
            </w:r>
          </w:p>
        </w:tc>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元/人年</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12000</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是</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受益群众满意度</w:t>
            </w:r>
          </w:p>
        </w:tc>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95</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95</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是</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bl>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tbl>
      <w:tblPr>
        <w:tblStyle w:val="7"/>
        <w:tblpPr w:leftFromText="180" w:rightFromText="180" w:vertAnchor="text" w:horzAnchor="page" w:tblpX="936" w:tblpY="903"/>
        <w:tblOverlap w:val="never"/>
        <w:tblW w:w="5000" w:type="pct"/>
        <w:tblInd w:w="0" w:type="dxa"/>
        <w:tblLayout w:type="autofit"/>
        <w:tblCellMar>
          <w:top w:w="0" w:type="dxa"/>
          <w:left w:w="108" w:type="dxa"/>
          <w:bottom w:w="0" w:type="dxa"/>
          <w:right w:w="108" w:type="dxa"/>
        </w:tblCellMar>
      </w:tblPr>
      <w:tblGrid>
        <w:gridCol w:w="2652"/>
        <w:gridCol w:w="1190"/>
        <w:gridCol w:w="1186"/>
        <w:gridCol w:w="1508"/>
        <w:gridCol w:w="1123"/>
        <w:gridCol w:w="1576"/>
        <w:gridCol w:w="1409"/>
        <w:gridCol w:w="1030"/>
        <w:gridCol w:w="937"/>
        <w:gridCol w:w="1314"/>
        <w:gridCol w:w="1583"/>
      </w:tblGrid>
      <w:tr>
        <w:tblPrEx>
          <w:tblCellMar>
            <w:top w:w="0" w:type="dxa"/>
            <w:left w:w="108" w:type="dxa"/>
            <w:bottom w:w="0" w:type="dxa"/>
            <w:right w:w="108" w:type="dxa"/>
          </w:tblCellMar>
        </w:tblPrEx>
        <w:trPr>
          <w:trHeight w:val="8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sz w:val="18"/>
                <w:szCs w:val="18"/>
              </w:rPr>
            </w:pPr>
            <w:r>
              <w:rPr>
                <w:rFonts w:cs="宋体"/>
                <w:sz w:val="18"/>
                <w:szCs w:val="18"/>
              </w:rPr>
              <w:t>2024年度二级项目绩效自评表</w:t>
            </w:r>
          </w:p>
        </w:tc>
      </w:tr>
      <w:tr>
        <w:tblPrEx>
          <w:tblCellMar>
            <w:top w:w="0" w:type="dxa"/>
            <w:left w:w="108" w:type="dxa"/>
            <w:bottom w:w="0" w:type="dxa"/>
            <w:right w:w="108" w:type="dxa"/>
          </w:tblCellMar>
        </w:tblPrEx>
        <w:trPr>
          <w:trHeight w:val="5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状态：绩效审核已审</w:t>
            </w:r>
          </w:p>
        </w:tc>
      </w:tr>
      <w:tr>
        <w:tblPrEx>
          <w:tblCellMar>
            <w:top w:w="0" w:type="dxa"/>
            <w:left w:w="108" w:type="dxa"/>
            <w:bottom w:w="0" w:type="dxa"/>
            <w:right w:w="108" w:type="dxa"/>
          </w:tblCellMar>
        </w:tblPrEx>
        <w:trPr>
          <w:trHeight w:val="500" w:hRule="atLeast"/>
        </w:trPr>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项目名称：</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农村生活垃圾处置费</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项目编码：</w:t>
            </w:r>
          </w:p>
        </w:tc>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50023723T000003170447</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自评总分：</w:t>
            </w:r>
          </w:p>
        </w:tc>
        <w:tc>
          <w:tcPr>
            <w:tcW w:w="66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项目主管部门：</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920-巫山县当阳乡人民政府</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财政归口处室：</w:t>
            </w:r>
          </w:p>
        </w:tc>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006-农业农村科</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部门联系人：</w:t>
            </w:r>
          </w:p>
        </w:tc>
        <w:tc>
          <w:tcPr>
            <w:tcW w:w="66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曾姣</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联系电话：</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cs="宋体"/>
                <w:sz w:val="18"/>
                <w:szCs w:val="18"/>
              </w:rPr>
            </w:pPr>
            <w:r>
              <w:rPr>
                <w:rFonts w:cs="宋体"/>
                <w:sz w:val="18"/>
                <w:szCs w:val="18"/>
              </w:rPr>
              <w:t>15696539561</w:t>
            </w:r>
          </w:p>
        </w:tc>
      </w:tr>
      <w:tr>
        <w:tblPrEx>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资金情况</w:t>
            </w:r>
          </w:p>
        </w:tc>
      </w:tr>
      <w:tr>
        <w:tblPrEx>
          <w:tblCellMar>
            <w:top w:w="0" w:type="dxa"/>
            <w:left w:w="108" w:type="dxa"/>
            <w:bottom w:w="0" w:type="dxa"/>
            <w:right w:w="108" w:type="dxa"/>
          </w:tblCellMar>
        </w:tblPrEx>
        <w:trPr>
          <w:trHeight w:val="500" w:hRule="atLeast"/>
        </w:trPr>
        <w:tc>
          <w:tcPr>
            <w:tcW w:w="118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8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年初预算数</w:t>
            </w:r>
          </w:p>
        </w:tc>
        <w:tc>
          <w:tcPr>
            <w:tcW w:w="90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全年（调整）预算数</w:t>
            </w:r>
          </w:p>
        </w:tc>
        <w:tc>
          <w:tcPr>
            <w:tcW w:w="8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全年执行数</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执行率</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执行率权重</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执行率得分</w:t>
            </w:r>
          </w:p>
        </w:tc>
      </w:tr>
      <w:tr>
        <w:trPr>
          <w:trHeight w:val="500" w:hRule="atLeast"/>
        </w:trPr>
        <w:tc>
          <w:tcPr>
            <w:tcW w:w="870" w:type="pct"/>
            <w:tcBorders>
              <w:top w:val="single" w:color="000000" w:sz="4" w:space="0"/>
              <w:left w:val="single" w:color="000000" w:sz="4" w:space="0"/>
              <w:bottom w:val="single" w:color="000000" w:sz="4" w:space="0"/>
              <w:right w:val="nil"/>
            </w:tcBorders>
            <w:shd w:val="clear" w:color="auto" w:fill="auto"/>
            <w:vAlign w:val="center"/>
          </w:tcPr>
          <w:p>
            <w:pPr>
              <w:rPr>
                <w:rFonts w:hint="default" w:cs="宋体"/>
                <w:sz w:val="18"/>
                <w:szCs w:val="18"/>
              </w:rPr>
            </w:pPr>
            <w:r>
              <w:rPr>
                <w:rFonts w:cs="宋体"/>
                <w:sz w:val="18"/>
                <w:szCs w:val="18"/>
              </w:rPr>
              <w:t>年度总金额</w:t>
            </w:r>
          </w:p>
        </w:tc>
        <w:tc>
          <w:tcPr>
            <w:tcW w:w="316"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p>
        </w:tc>
        <w:tc>
          <w:tcPr>
            <w:tcW w:w="316"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499"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64,020.00 </w:t>
            </w:r>
          </w:p>
        </w:tc>
        <w:tc>
          <w:tcPr>
            <w:tcW w:w="377"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522" w:type="pct"/>
            <w:tcBorders>
              <w:top w:val="single" w:color="000000" w:sz="4" w:space="0"/>
              <w:left w:val="nil"/>
              <w:bottom w:val="single" w:color="000000" w:sz="4" w:space="0"/>
              <w:right w:val="single" w:color="000000" w:sz="4" w:space="0"/>
            </w:tcBorders>
            <w:shd w:val="clear" w:color="auto" w:fill="auto"/>
            <w:vAlign w:val="center"/>
          </w:tcPr>
          <w:p>
            <w:pPr>
              <w:rPr>
                <w:rFonts w:hint="default" w:cs="宋体"/>
                <w:sz w:val="18"/>
                <w:szCs w:val="18"/>
              </w:rPr>
            </w:pPr>
            <w:r>
              <w:rPr>
                <w:rFonts w:cs="宋体"/>
                <w:sz w:val="18"/>
                <w:szCs w:val="18"/>
              </w:rPr>
              <w:t xml:space="preserve">64,000.00 </w:t>
            </w:r>
          </w:p>
        </w:tc>
        <w:tc>
          <w:tcPr>
            <w:tcW w:w="469"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347"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64,000.00 </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870" w:type="pct"/>
            <w:tcBorders>
              <w:top w:val="single" w:color="000000" w:sz="4" w:space="0"/>
              <w:left w:val="single" w:color="000000" w:sz="4" w:space="0"/>
              <w:bottom w:val="single" w:color="000000" w:sz="4" w:space="0"/>
              <w:right w:val="nil"/>
            </w:tcBorders>
            <w:shd w:val="clear" w:color="auto" w:fill="auto"/>
            <w:vAlign w:val="center"/>
          </w:tcPr>
          <w:p>
            <w:pPr>
              <w:rPr>
                <w:rFonts w:hint="default" w:cs="宋体"/>
                <w:sz w:val="18"/>
                <w:szCs w:val="18"/>
              </w:rPr>
            </w:pPr>
            <w:r>
              <w:rPr>
                <w:rFonts w:cs="宋体"/>
                <w:sz w:val="18"/>
                <w:szCs w:val="18"/>
              </w:rPr>
              <w:t>其中：财政拨款</w:t>
            </w:r>
          </w:p>
        </w:tc>
        <w:tc>
          <w:tcPr>
            <w:tcW w:w="316"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p>
        </w:tc>
        <w:tc>
          <w:tcPr>
            <w:tcW w:w="316"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499"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64,020.00 </w:t>
            </w:r>
          </w:p>
        </w:tc>
        <w:tc>
          <w:tcPr>
            <w:tcW w:w="377"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522" w:type="pct"/>
            <w:tcBorders>
              <w:top w:val="single" w:color="000000" w:sz="4" w:space="0"/>
              <w:left w:val="nil"/>
              <w:bottom w:val="single" w:color="000000" w:sz="4" w:space="0"/>
              <w:right w:val="single" w:color="000000" w:sz="4" w:space="0"/>
            </w:tcBorders>
            <w:shd w:val="clear" w:color="auto" w:fill="auto"/>
            <w:vAlign w:val="center"/>
          </w:tcPr>
          <w:p>
            <w:pPr>
              <w:rPr>
                <w:rFonts w:hint="default" w:cs="宋体"/>
                <w:sz w:val="18"/>
                <w:szCs w:val="18"/>
              </w:rPr>
            </w:pPr>
            <w:r>
              <w:rPr>
                <w:rFonts w:cs="宋体"/>
                <w:sz w:val="18"/>
                <w:szCs w:val="18"/>
              </w:rPr>
              <w:t xml:space="preserve">64,000.00 </w:t>
            </w:r>
          </w:p>
        </w:tc>
        <w:tc>
          <w:tcPr>
            <w:tcW w:w="469"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347"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64,000.00 </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10.00</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10.00 </w:t>
            </w:r>
          </w:p>
        </w:tc>
      </w:tr>
      <w:tr>
        <w:tblPrEx>
          <w:tblCellMar>
            <w:top w:w="0" w:type="dxa"/>
            <w:left w:w="108" w:type="dxa"/>
            <w:bottom w:w="0" w:type="dxa"/>
            <w:right w:w="108" w:type="dxa"/>
          </w:tblCellMar>
        </w:tblPrEx>
        <w:trPr>
          <w:trHeight w:val="500" w:hRule="atLeast"/>
        </w:trPr>
        <w:tc>
          <w:tcPr>
            <w:tcW w:w="870" w:type="pct"/>
            <w:tcBorders>
              <w:top w:val="single" w:color="000000" w:sz="4" w:space="0"/>
              <w:left w:val="single" w:color="000000" w:sz="4" w:space="0"/>
              <w:bottom w:val="single" w:color="000000" w:sz="4" w:space="0"/>
              <w:right w:val="nil"/>
            </w:tcBorders>
            <w:shd w:val="clear" w:color="auto" w:fill="auto"/>
            <w:vAlign w:val="center"/>
          </w:tcPr>
          <w:p>
            <w:pPr>
              <w:rPr>
                <w:rFonts w:hint="default" w:cs="宋体"/>
                <w:sz w:val="18"/>
                <w:szCs w:val="18"/>
              </w:rPr>
            </w:pPr>
            <w:r>
              <w:rPr>
                <w:rFonts w:cs="宋体"/>
                <w:sz w:val="18"/>
                <w:szCs w:val="18"/>
              </w:rPr>
              <w:t>一般公共预算</w:t>
            </w:r>
          </w:p>
        </w:tc>
        <w:tc>
          <w:tcPr>
            <w:tcW w:w="316"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p>
        </w:tc>
        <w:tc>
          <w:tcPr>
            <w:tcW w:w="316"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499"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64,020.00 </w:t>
            </w:r>
          </w:p>
        </w:tc>
        <w:tc>
          <w:tcPr>
            <w:tcW w:w="377"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522" w:type="pct"/>
            <w:tcBorders>
              <w:top w:val="single" w:color="000000" w:sz="4" w:space="0"/>
              <w:left w:val="nil"/>
              <w:bottom w:val="single" w:color="000000" w:sz="4" w:space="0"/>
              <w:right w:val="single" w:color="000000" w:sz="4" w:space="0"/>
            </w:tcBorders>
            <w:shd w:val="clear" w:color="auto" w:fill="auto"/>
            <w:vAlign w:val="center"/>
          </w:tcPr>
          <w:p>
            <w:pPr>
              <w:rPr>
                <w:rFonts w:hint="default" w:cs="宋体"/>
                <w:sz w:val="18"/>
                <w:szCs w:val="18"/>
              </w:rPr>
            </w:pPr>
            <w:r>
              <w:rPr>
                <w:rFonts w:cs="宋体"/>
                <w:sz w:val="18"/>
                <w:szCs w:val="18"/>
              </w:rPr>
              <w:t xml:space="preserve">64,000.00 </w:t>
            </w:r>
          </w:p>
        </w:tc>
        <w:tc>
          <w:tcPr>
            <w:tcW w:w="469"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347"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64,000.00 </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绩效目标</w:t>
            </w:r>
          </w:p>
        </w:tc>
      </w:tr>
      <w:tr>
        <w:tblPrEx>
          <w:tblCellMar>
            <w:top w:w="0" w:type="dxa"/>
            <w:left w:w="108" w:type="dxa"/>
            <w:bottom w:w="0" w:type="dxa"/>
            <w:right w:w="108" w:type="dxa"/>
          </w:tblCellMar>
        </w:tblPrEx>
        <w:trPr>
          <w:trHeight w:val="500" w:hRule="atLeast"/>
        </w:trPr>
        <w:tc>
          <w:tcPr>
            <w:tcW w:w="200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年初绩效目标</w:t>
            </w:r>
          </w:p>
        </w:tc>
        <w:tc>
          <w:tcPr>
            <w:tcW w:w="171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全年（调整）绩效目标</w:t>
            </w:r>
          </w:p>
        </w:tc>
        <w:tc>
          <w:tcPr>
            <w:tcW w:w="127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全年目标实际完成情况</w:t>
            </w:r>
          </w:p>
        </w:tc>
      </w:tr>
      <w:tr>
        <w:tblPrEx>
          <w:tblCellMar>
            <w:top w:w="0" w:type="dxa"/>
            <w:left w:w="108" w:type="dxa"/>
            <w:bottom w:w="0" w:type="dxa"/>
            <w:right w:w="108" w:type="dxa"/>
          </w:tblCellMar>
        </w:tblPrEx>
        <w:trPr>
          <w:trHeight w:val="1600" w:hRule="atLeast"/>
        </w:trPr>
        <w:tc>
          <w:tcPr>
            <w:tcW w:w="2004" w:type="pct"/>
            <w:gridSpan w:val="4"/>
            <w:tcBorders>
              <w:top w:val="single" w:color="000000" w:sz="4" w:space="0"/>
              <w:left w:val="single" w:color="000000" w:sz="4" w:space="0"/>
              <w:bottom w:val="single" w:color="000000" w:sz="4" w:space="0"/>
              <w:right w:val="single" w:color="000000" w:sz="4" w:space="0"/>
            </w:tcBorders>
            <w:shd w:val="clear" w:color="auto" w:fill="auto"/>
          </w:tcPr>
          <w:p>
            <w:pPr>
              <w:rPr>
                <w:rFonts w:hint="default" w:cs="宋体"/>
                <w:sz w:val="18"/>
                <w:szCs w:val="18"/>
              </w:rPr>
            </w:pPr>
            <w:r>
              <w:rPr>
                <w:rFonts w:cs="宋体"/>
                <w:sz w:val="18"/>
                <w:szCs w:val="18"/>
              </w:rPr>
              <w:t>保障当阳乡2023年农村生活垃圾处置费，提高居民生活环境质量。</w:t>
            </w:r>
          </w:p>
        </w:tc>
        <w:tc>
          <w:tcPr>
            <w:tcW w:w="1716" w:type="pct"/>
            <w:gridSpan w:val="4"/>
            <w:tcBorders>
              <w:top w:val="single" w:color="000000" w:sz="4" w:space="0"/>
              <w:left w:val="single" w:color="000000" w:sz="4" w:space="0"/>
              <w:bottom w:val="single" w:color="000000" w:sz="4" w:space="0"/>
              <w:right w:val="single" w:color="000000" w:sz="4" w:space="0"/>
            </w:tcBorders>
            <w:shd w:val="clear" w:color="auto" w:fill="auto"/>
          </w:tcPr>
          <w:p>
            <w:pPr>
              <w:rPr>
                <w:rFonts w:hint="default" w:cs="宋体"/>
                <w:sz w:val="18"/>
                <w:szCs w:val="18"/>
              </w:rPr>
            </w:pPr>
            <w:r>
              <w:rPr>
                <w:rFonts w:cs="宋体"/>
                <w:sz w:val="18"/>
                <w:szCs w:val="18"/>
              </w:rPr>
              <w:t>保障当阳乡2023年农村生活垃圾处置费，提高居民生活环境质量。</w:t>
            </w:r>
          </w:p>
        </w:tc>
        <w:tc>
          <w:tcPr>
            <w:tcW w:w="1278" w:type="pct"/>
            <w:gridSpan w:val="3"/>
            <w:tcBorders>
              <w:top w:val="single" w:color="000000" w:sz="4" w:space="0"/>
              <w:left w:val="single" w:color="000000" w:sz="4" w:space="0"/>
              <w:bottom w:val="single" w:color="000000" w:sz="4" w:space="0"/>
              <w:right w:val="single" w:color="000000" w:sz="4" w:space="0"/>
            </w:tcBorders>
            <w:shd w:val="clear" w:color="auto" w:fill="auto"/>
          </w:tcPr>
          <w:p>
            <w:pPr>
              <w:rPr>
                <w:rFonts w:hint="default" w:cs="宋体"/>
                <w:sz w:val="18"/>
                <w:szCs w:val="18"/>
              </w:rPr>
            </w:pPr>
            <w:r>
              <w:rPr>
                <w:rFonts w:cs="宋体"/>
                <w:sz w:val="18"/>
                <w:szCs w:val="18"/>
              </w:rPr>
              <w:t>保障当阳乡2023年农村生活垃圾处置费，提高居民生活环境质量。</w:t>
            </w:r>
          </w:p>
        </w:tc>
      </w:tr>
      <w:tr>
        <w:tblPrEx>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绩效指标</w:t>
            </w:r>
          </w:p>
        </w:tc>
      </w:tr>
      <w:tr>
        <w:tblPrEx>
          <w:tblCellMar>
            <w:top w:w="0" w:type="dxa"/>
            <w:left w:w="108" w:type="dxa"/>
            <w:bottom w:w="0" w:type="dxa"/>
            <w:right w:w="108" w:type="dxa"/>
          </w:tblCellMar>
        </w:tblPrEx>
        <w:trPr>
          <w:trHeight w:val="500" w:hRule="atLeast"/>
        </w:trPr>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指标名称</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计量单位</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指标性质</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指标值</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全年完成值</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偏离度（%）</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得分系数（%）</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指标权重</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指标得分</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是否核心指标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说明</w:t>
            </w:r>
          </w:p>
        </w:tc>
      </w:tr>
      <w:tr>
        <w:trPr>
          <w:trHeight w:val="500" w:hRule="atLeast"/>
        </w:trPr>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保障全乡受益人数</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人</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6000</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6000</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是</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资金到位效率</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95</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99</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4.21</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否</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垃圾可再回收利用，减少浪费</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定性</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好</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否</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提高农村的人文环境</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定性</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好</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否</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群众满意度</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95</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98</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3.16</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否</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bl>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p>
      <w:pPr>
        <w:rPr>
          <w:rFonts w:hint="default" w:cs="宋体"/>
          <w:sz w:val="18"/>
          <w:szCs w:val="18"/>
        </w:rPr>
      </w:pPr>
    </w:p>
    <w:tbl>
      <w:tblPr>
        <w:tblStyle w:val="7"/>
        <w:tblpPr w:leftFromText="180" w:rightFromText="180" w:vertAnchor="text" w:horzAnchor="page" w:tblpX="722" w:tblpY="814"/>
        <w:tblOverlap w:val="never"/>
        <w:tblW w:w="5000" w:type="pct"/>
        <w:tblInd w:w="0" w:type="dxa"/>
        <w:tblLayout w:type="autofit"/>
        <w:tblCellMar>
          <w:top w:w="0" w:type="dxa"/>
          <w:left w:w="108" w:type="dxa"/>
          <w:bottom w:w="0" w:type="dxa"/>
          <w:right w:w="108" w:type="dxa"/>
        </w:tblCellMar>
      </w:tblPr>
      <w:tblGrid>
        <w:gridCol w:w="2592"/>
        <w:gridCol w:w="1190"/>
        <w:gridCol w:w="1186"/>
        <w:gridCol w:w="1529"/>
        <w:gridCol w:w="1142"/>
        <w:gridCol w:w="1598"/>
        <w:gridCol w:w="1430"/>
        <w:gridCol w:w="953"/>
        <w:gridCol w:w="953"/>
        <w:gridCol w:w="1334"/>
        <w:gridCol w:w="1601"/>
      </w:tblGrid>
      <w:tr>
        <w:tblPrEx>
          <w:tblCellMar>
            <w:top w:w="0" w:type="dxa"/>
            <w:left w:w="108" w:type="dxa"/>
            <w:bottom w:w="0" w:type="dxa"/>
            <w:right w:w="108" w:type="dxa"/>
          </w:tblCellMar>
        </w:tblPrEx>
        <w:trPr>
          <w:trHeight w:val="8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sz w:val="18"/>
                <w:szCs w:val="18"/>
              </w:rPr>
            </w:pPr>
            <w:r>
              <w:rPr>
                <w:rFonts w:cs="宋体"/>
                <w:sz w:val="18"/>
                <w:szCs w:val="18"/>
              </w:rPr>
              <w:t>2024年度二级项目绩效自评表</w:t>
            </w:r>
          </w:p>
        </w:tc>
      </w:tr>
      <w:tr>
        <w:tblPrEx>
          <w:tblCellMar>
            <w:top w:w="0" w:type="dxa"/>
            <w:left w:w="108" w:type="dxa"/>
            <w:bottom w:w="0" w:type="dxa"/>
            <w:right w:w="108" w:type="dxa"/>
          </w:tblCellMar>
        </w:tblPrEx>
        <w:trPr>
          <w:trHeight w:val="4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状态：绩效审核已审</w:t>
            </w:r>
          </w:p>
        </w:tc>
      </w:tr>
      <w:tr>
        <w:tblPrEx>
          <w:tblCellMar>
            <w:top w:w="0" w:type="dxa"/>
            <w:left w:w="108" w:type="dxa"/>
            <w:bottom w:w="0" w:type="dxa"/>
            <w:right w:w="108" w:type="dxa"/>
          </w:tblCellMar>
        </w:tblPrEx>
        <w:trPr>
          <w:trHeight w:val="500" w:hRule="atLeast"/>
        </w:trPr>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项目名称：</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"雨露计划“补助</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项目编码：</w:t>
            </w:r>
          </w:p>
        </w:tc>
        <w:tc>
          <w:tcPr>
            <w:tcW w:w="9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50023722T000002116911</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自评总分：</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100.00</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项目主管部门：</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920-巫山县当阳乡人民政府</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财政归口处室：</w:t>
            </w:r>
          </w:p>
        </w:tc>
        <w:tc>
          <w:tcPr>
            <w:tcW w:w="9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006-农业农村科</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部门联系人：</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曾姣</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联系电话：</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cs="宋体"/>
                <w:sz w:val="18"/>
                <w:szCs w:val="18"/>
              </w:rPr>
            </w:pPr>
            <w:r>
              <w:rPr>
                <w:rFonts w:cs="宋体"/>
                <w:sz w:val="18"/>
                <w:szCs w:val="18"/>
              </w:rPr>
              <w:t>15696539561</w:t>
            </w:r>
          </w:p>
        </w:tc>
      </w:tr>
      <w:tr>
        <w:tblPrEx>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资金情况</w:t>
            </w:r>
          </w:p>
        </w:tc>
      </w:tr>
      <w:tr>
        <w:tblPrEx>
          <w:tblCellMar>
            <w:top w:w="0" w:type="dxa"/>
            <w:left w:w="108" w:type="dxa"/>
            <w:bottom w:w="0" w:type="dxa"/>
            <w:right w:w="108" w:type="dxa"/>
          </w:tblCellMar>
        </w:tblPrEx>
        <w:trPr>
          <w:trHeight w:val="500" w:hRule="atLeast"/>
        </w:trPr>
        <w:tc>
          <w:tcPr>
            <w:tcW w:w="117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年初预算数</w:t>
            </w:r>
          </w:p>
        </w:tc>
        <w:tc>
          <w:tcPr>
            <w:tcW w:w="9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全年（调整）预算数</w:t>
            </w:r>
          </w:p>
        </w:tc>
        <w:tc>
          <w:tcPr>
            <w:tcW w:w="79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全年执行数</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执行率</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执行率权重</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执行率得分</w:t>
            </w:r>
          </w:p>
        </w:tc>
      </w:tr>
      <w:tr>
        <w:trPr>
          <w:trHeight w:val="500" w:hRule="atLeast"/>
        </w:trPr>
        <w:tc>
          <w:tcPr>
            <w:tcW w:w="850" w:type="pct"/>
            <w:tcBorders>
              <w:top w:val="single" w:color="000000" w:sz="4" w:space="0"/>
              <w:left w:val="single" w:color="000000" w:sz="4" w:space="0"/>
              <w:bottom w:val="single" w:color="000000" w:sz="4" w:space="0"/>
              <w:right w:val="nil"/>
            </w:tcBorders>
            <w:shd w:val="clear" w:color="auto" w:fill="auto"/>
            <w:vAlign w:val="center"/>
          </w:tcPr>
          <w:p>
            <w:pPr>
              <w:rPr>
                <w:rFonts w:hint="default" w:cs="宋体"/>
                <w:sz w:val="18"/>
                <w:szCs w:val="18"/>
              </w:rPr>
            </w:pPr>
            <w:r>
              <w:rPr>
                <w:rFonts w:cs="宋体"/>
                <w:sz w:val="18"/>
                <w:szCs w:val="18"/>
              </w:rPr>
              <w:t>年度总金额</w:t>
            </w:r>
          </w:p>
        </w:tc>
        <w:tc>
          <w:tcPr>
            <w:tcW w:w="321"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p>
        </w:tc>
        <w:tc>
          <w:tcPr>
            <w:tcW w:w="320"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505"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0.00 </w:t>
            </w:r>
          </w:p>
        </w:tc>
        <w:tc>
          <w:tcPr>
            <w:tcW w:w="382"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528" w:type="pct"/>
            <w:tcBorders>
              <w:top w:val="single" w:color="000000" w:sz="4" w:space="0"/>
              <w:left w:val="nil"/>
              <w:bottom w:val="single" w:color="000000" w:sz="4" w:space="0"/>
              <w:right w:val="single" w:color="000000" w:sz="4" w:space="0"/>
            </w:tcBorders>
            <w:shd w:val="clear" w:color="auto" w:fill="auto"/>
            <w:vAlign w:val="center"/>
          </w:tcPr>
          <w:p>
            <w:pPr>
              <w:rPr>
                <w:rFonts w:hint="default" w:cs="宋体"/>
                <w:sz w:val="18"/>
                <w:szCs w:val="18"/>
              </w:rPr>
            </w:pPr>
            <w:r>
              <w:rPr>
                <w:rFonts w:cs="宋体"/>
                <w:sz w:val="18"/>
                <w:szCs w:val="18"/>
              </w:rPr>
              <w:t xml:space="preserve">1,500.00 </w:t>
            </w:r>
          </w:p>
        </w:tc>
        <w:tc>
          <w:tcPr>
            <w:tcW w:w="475"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320"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1,500.00 </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850" w:type="pct"/>
            <w:tcBorders>
              <w:top w:val="single" w:color="000000" w:sz="4" w:space="0"/>
              <w:left w:val="single" w:color="000000" w:sz="4" w:space="0"/>
              <w:bottom w:val="single" w:color="000000" w:sz="4" w:space="0"/>
              <w:right w:val="nil"/>
            </w:tcBorders>
            <w:shd w:val="clear" w:color="auto" w:fill="auto"/>
            <w:vAlign w:val="center"/>
          </w:tcPr>
          <w:p>
            <w:pPr>
              <w:rPr>
                <w:rFonts w:hint="default" w:cs="宋体"/>
                <w:sz w:val="18"/>
                <w:szCs w:val="18"/>
              </w:rPr>
            </w:pPr>
            <w:r>
              <w:rPr>
                <w:rFonts w:cs="宋体"/>
                <w:sz w:val="18"/>
                <w:szCs w:val="18"/>
              </w:rPr>
              <w:t>其中：财政拨款</w:t>
            </w:r>
          </w:p>
        </w:tc>
        <w:tc>
          <w:tcPr>
            <w:tcW w:w="321"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p>
        </w:tc>
        <w:tc>
          <w:tcPr>
            <w:tcW w:w="320"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505"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0.00 </w:t>
            </w:r>
          </w:p>
        </w:tc>
        <w:tc>
          <w:tcPr>
            <w:tcW w:w="382"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528" w:type="pct"/>
            <w:tcBorders>
              <w:top w:val="single" w:color="000000" w:sz="4" w:space="0"/>
              <w:left w:val="nil"/>
              <w:bottom w:val="single" w:color="000000" w:sz="4" w:space="0"/>
              <w:right w:val="single" w:color="000000" w:sz="4" w:space="0"/>
            </w:tcBorders>
            <w:shd w:val="clear" w:color="auto" w:fill="auto"/>
            <w:vAlign w:val="center"/>
          </w:tcPr>
          <w:p>
            <w:pPr>
              <w:rPr>
                <w:rFonts w:hint="default" w:cs="宋体"/>
                <w:sz w:val="18"/>
                <w:szCs w:val="18"/>
              </w:rPr>
            </w:pPr>
            <w:r>
              <w:rPr>
                <w:rFonts w:cs="宋体"/>
                <w:sz w:val="18"/>
                <w:szCs w:val="18"/>
              </w:rPr>
              <w:t xml:space="preserve">1,500.00 </w:t>
            </w:r>
          </w:p>
        </w:tc>
        <w:tc>
          <w:tcPr>
            <w:tcW w:w="475"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320"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1,500.00 </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10.00 </w:t>
            </w:r>
          </w:p>
        </w:tc>
      </w:tr>
      <w:tr>
        <w:tblPrEx>
          <w:tblCellMar>
            <w:top w:w="0" w:type="dxa"/>
            <w:left w:w="108" w:type="dxa"/>
            <w:bottom w:w="0" w:type="dxa"/>
            <w:right w:w="108" w:type="dxa"/>
          </w:tblCellMar>
        </w:tblPrEx>
        <w:trPr>
          <w:trHeight w:val="500" w:hRule="atLeast"/>
        </w:trPr>
        <w:tc>
          <w:tcPr>
            <w:tcW w:w="850" w:type="pct"/>
            <w:tcBorders>
              <w:top w:val="single" w:color="000000" w:sz="4" w:space="0"/>
              <w:left w:val="single" w:color="000000" w:sz="4" w:space="0"/>
              <w:bottom w:val="single" w:color="000000" w:sz="4" w:space="0"/>
              <w:right w:val="nil"/>
            </w:tcBorders>
            <w:shd w:val="clear" w:color="auto" w:fill="auto"/>
            <w:vAlign w:val="center"/>
          </w:tcPr>
          <w:p>
            <w:pPr>
              <w:rPr>
                <w:rFonts w:hint="default" w:cs="宋体"/>
                <w:sz w:val="18"/>
                <w:szCs w:val="18"/>
              </w:rPr>
            </w:pPr>
            <w:r>
              <w:rPr>
                <w:rFonts w:cs="宋体"/>
                <w:sz w:val="18"/>
                <w:szCs w:val="18"/>
              </w:rPr>
              <w:t>一般公共预算</w:t>
            </w:r>
          </w:p>
        </w:tc>
        <w:tc>
          <w:tcPr>
            <w:tcW w:w="321"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p>
        </w:tc>
        <w:tc>
          <w:tcPr>
            <w:tcW w:w="320"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505"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0.00 </w:t>
            </w:r>
          </w:p>
        </w:tc>
        <w:tc>
          <w:tcPr>
            <w:tcW w:w="382"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528" w:type="pct"/>
            <w:tcBorders>
              <w:top w:val="single" w:color="000000" w:sz="4" w:space="0"/>
              <w:left w:val="nil"/>
              <w:bottom w:val="single" w:color="000000" w:sz="4" w:space="0"/>
              <w:right w:val="single" w:color="000000" w:sz="4" w:space="0"/>
            </w:tcBorders>
            <w:shd w:val="clear" w:color="auto" w:fill="auto"/>
            <w:vAlign w:val="center"/>
          </w:tcPr>
          <w:p>
            <w:pPr>
              <w:rPr>
                <w:rFonts w:hint="default" w:cs="宋体"/>
                <w:sz w:val="18"/>
                <w:szCs w:val="18"/>
              </w:rPr>
            </w:pPr>
            <w:r>
              <w:rPr>
                <w:rFonts w:cs="宋体"/>
                <w:sz w:val="18"/>
                <w:szCs w:val="18"/>
              </w:rPr>
              <w:t xml:space="preserve">1,500.00 </w:t>
            </w:r>
          </w:p>
        </w:tc>
        <w:tc>
          <w:tcPr>
            <w:tcW w:w="475" w:type="pct"/>
            <w:tcBorders>
              <w:top w:val="single" w:color="000000" w:sz="4" w:space="0"/>
              <w:left w:val="single" w:color="000000" w:sz="4" w:space="0"/>
              <w:bottom w:val="single" w:color="000000" w:sz="4" w:space="0"/>
              <w:right w:val="nil"/>
            </w:tcBorders>
            <w:shd w:val="clear" w:color="auto" w:fill="auto"/>
            <w:noWrap/>
            <w:vAlign w:val="center"/>
          </w:tcPr>
          <w:p>
            <w:pPr>
              <w:rPr>
                <w:rFonts w:hint="default" w:cs="宋体"/>
                <w:sz w:val="18"/>
                <w:szCs w:val="18"/>
              </w:rPr>
            </w:pPr>
          </w:p>
        </w:tc>
        <w:tc>
          <w:tcPr>
            <w:tcW w:w="320" w:type="pct"/>
            <w:tcBorders>
              <w:top w:val="single" w:color="000000" w:sz="4" w:space="0"/>
              <w:left w:val="nil"/>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 xml:space="preserve">1,500.00 </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绩效目标</w:t>
            </w:r>
          </w:p>
        </w:tc>
      </w:tr>
      <w:tr>
        <w:tblPrEx>
          <w:tblCellMar>
            <w:top w:w="0" w:type="dxa"/>
            <w:left w:w="108" w:type="dxa"/>
            <w:bottom w:w="0" w:type="dxa"/>
            <w:right w:w="108" w:type="dxa"/>
          </w:tblCellMar>
        </w:tblPrEx>
        <w:trPr>
          <w:trHeight w:val="500" w:hRule="atLeast"/>
        </w:trPr>
        <w:tc>
          <w:tcPr>
            <w:tcW w:w="199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年初绩效目标</w:t>
            </w:r>
          </w:p>
        </w:tc>
        <w:tc>
          <w:tcPr>
            <w:tcW w:w="1707"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全年（调整）绩效目标</w:t>
            </w:r>
          </w:p>
        </w:tc>
        <w:tc>
          <w:tcPr>
            <w:tcW w:w="129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全年目标实际完成情况</w:t>
            </w:r>
          </w:p>
        </w:tc>
      </w:tr>
      <w:tr>
        <w:tblPrEx>
          <w:tblCellMar>
            <w:top w:w="0" w:type="dxa"/>
            <w:left w:w="108" w:type="dxa"/>
            <w:bottom w:w="0" w:type="dxa"/>
            <w:right w:w="108" w:type="dxa"/>
          </w:tblCellMar>
        </w:tblPrEx>
        <w:trPr>
          <w:trHeight w:val="1600" w:hRule="atLeast"/>
        </w:trPr>
        <w:tc>
          <w:tcPr>
            <w:tcW w:w="1998" w:type="pct"/>
            <w:gridSpan w:val="4"/>
            <w:tcBorders>
              <w:top w:val="single" w:color="000000" w:sz="4" w:space="0"/>
              <w:left w:val="single" w:color="000000" w:sz="4" w:space="0"/>
              <w:bottom w:val="single" w:color="000000" w:sz="4" w:space="0"/>
              <w:right w:val="single" w:color="000000" w:sz="4" w:space="0"/>
            </w:tcBorders>
            <w:shd w:val="clear" w:color="auto" w:fill="auto"/>
          </w:tcPr>
          <w:p>
            <w:pPr>
              <w:rPr>
                <w:rFonts w:hint="default" w:cs="宋体"/>
                <w:sz w:val="18"/>
                <w:szCs w:val="18"/>
              </w:rPr>
            </w:pPr>
            <w:r>
              <w:rPr>
                <w:rFonts w:cs="宋体"/>
                <w:sz w:val="18"/>
                <w:szCs w:val="18"/>
              </w:rPr>
              <w:t>”雨露计划“是巩固拓展脱贫攻坚成果机制，提高脱贫人口自我发展能力，促进就业增收，为全县脱贫户、监测户对象中高职职业教育学生发放教育补助。</w:t>
            </w:r>
          </w:p>
        </w:tc>
        <w:tc>
          <w:tcPr>
            <w:tcW w:w="1707" w:type="pct"/>
            <w:gridSpan w:val="4"/>
            <w:tcBorders>
              <w:top w:val="single" w:color="000000" w:sz="4" w:space="0"/>
              <w:left w:val="single" w:color="000000" w:sz="4" w:space="0"/>
              <w:bottom w:val="single" w:color="000000" w:sz="4" w:space="0"/>
              <w:right w:val="single" w:color="000000" w:sz="4" w:space="0"/>
            </w:tcBorders>
            <w:shd w:val="clear" w:color="auto" w:fill="auto"/>
          </w:tcPr>
          <w:p>
            <w:pPr>
              <w:rPr>
                <w:rFonts w:hint="default" w:cs="宋体"/>
                <w:sz w:val="18"/>
                <w:szCs w:val="18"/>
              </w:rPr>
            </w:pPr>
            <w:r>
              <w:rPr>
                <w:rFonts w:cs="宋体"/>
                <w:sz w:val="18"/>
                <w:szCs w:val="18"/>
              </w:rPr>
              <w:t>”雨露计划“是巩固拓展脱贫攻坚成果机制，提高脱贫人口自我发展能力，促进就业增收，为全县脱贫户、监测户对象中高职职业教育学生发放教育补助。</w:t>
            </w:r>
          </w:p>
        </w:tc>
        <w:tc>
          <w:tcPr>
            <w:tcW w:w="1294" w:type="pct"/>
            <w:gridSpan w:val="3"/>
            <w:tcBorders>
              <w:top w:val="single" w:color="000000" w:sz="4" w:space="0"/>
              <w:left w:val="single" w:color="000000" w:sz="4" w:space="0"/>
              <w:bottom w:val="single" w:color="000000" w:sz="4" w:space="0"/>
              <w:right w:val="single" w:color="000000" w:sz="4" w:space="0"/>
            </w:tcBorders>
            <w:shd w:val="clear" w:color="auto" w:fill="auto"/>
          </w:tcPr>
          <w:p>
            <w:pPr>
              <w:rPr>
                <w:rFonts w:hint="default" w:cs="宋体"/>
                <w:sz w:val="18"/>
                <w:szCs w:val="18"/>
              </w:rPr>
            </w:pPr>
            <w:r>
              <w:rPr>
                <w:rFonts w:cs="宋体"/>
                <w:sz w:val="18"/>
                <w:szCs w:val="18"/>
              </w:rPr>
              <w:t>提高脱贫人口自我发展能力，促进就业增收，为脱贫户、监测户对象中高职职业教育学生发放教育补助。</w:t>
            </w:r>
          </w:p>
        </w:tc>
      </w:tr>
      <w:tr>
        <w:tblPrEx>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绩效指标</w:t>
            </w:r>
          </w:p>
        </w:tc>
      </w:tr>
      <w:tr>
        <w:tblPrEx>
          <w:tblCellMar>
            <w:top w:w="0" w:type="dxa"/>
            <w:left w:w="108" w:type="dxa"/>
            <w:bottom w:w="0" w:type="dxa"/>
            <w:right w:w="108" w:type="dxa"/>
          </w:tblCellMar>
        </w:tblPrEx>
        <w:trPr>
          <w:trHeight w:val="500" w:hRule="atLeast"/>
        </w:trPr>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指标名称</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计量单位</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指标性质</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指标值</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全年完成值</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偏离度（%）</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得分系数（%）</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指标权重</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指标得分</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是否核心指标</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说明</w:t>
            </w:r>
          </w:p>
        </w:tc>
      </w:tr>
      <w:tr>
        <w:trPr>
          <w:trHeight w:val="500" w:hRule="atLeast"/>
        </w:trPr>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受益村个数</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个</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否</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受益人数</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人</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是</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资金到位效率</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95</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99</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4.21</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否</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提高脱贫人口自我发展能力</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定性</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是</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0</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20</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否</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r>
        <w:tblPrEx>
          <w:tblCellMar>
            <w:top w:w="0" w:type="dxa"/>
            <w:left w:w="108" w:type="dxa"/>
            <w:bottom w:w="0" w:type="dxa"/>
            <w:right w:w="108" w:type="dxa"/>
          </w:tblCellMar>
        </w:tblPrEx>
        <w:trPr>
          <w:trHeight w:val="500" w:hRule="atLeast"/>
        </w:trPr>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受益群众满意度</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95</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98</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3.16</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100</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10</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r>
              <w:rPr>
                <w:rFonts w:cs="宋体"/>
                <w:sz w:val="18"/>
                <w:szCs w:val="18"/>
              </w:rPr>
              <w:t>否</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cs="宋体"/>
                <w:sz w:val="18"/>
                <w:szCs w:val="18"/>
              </w:rPr>
            </w:pPr>
          </w:p>
        </w:tc>
      </w:tr>
    </w:tbl>
    <w:p>
      <w:pPr>
        <w:rPr>
          <w:rFonts w:hint="default" w:cs="宋体"/>
          <w:sz w:val="18"/>
          <w:szCs w:val="18"/>
        </w:rPr>
      </w:pPr>
    </w:p>
    <w:p>
      <w:pPr>
        <w:rPr>
          <w:rFonts w:hint="default"/>
          <w:sz w:val="18"/>
          <w:szCs w:val="18"/>
        </w:rPr>
      </w:pP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rPr>
                              <w:rFonts w:hint="default"/>
                            </w:rPr>
                          </w:pPr>
                          <w:r>
                            <w:rPr>
                              <w:rFonts w:hint="default"/>
                            </w:rPr>
                            <w:fldChar w:fldCharType="begin"/>
                          </w:r>
                          <w:r>
                            <w:instrText xml:space="preserve"> PAGE  \* MERGEFORMAT </w:instrText>
                          </w:r>
                          <w:r>
                            <w:rPr>
                              <w:rFonts w:hint="default"/>
                            </w:rPr>
                            <w:fldChar w:fldCharType="separate"/>
                          </w:r>
                          <w:r>
                            <w:rPr>
                              <w:rFonts w:hint="default"/>
                            </w:rPr>
                            <w:t>- 9 -</w:t>
                          </w:r>
                          <w:r>
                            <w:rPr>
                              <w:rFonts w:hint="default"/>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fV2T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K&#10;8vQBK6q6D1QXh3d+SKVTHCmYWA8t2PQlPozyJO75Kq4aIpPp0nq1XpeUkpSbHcIpHq8HwPheecuS&#10;UXOg18uiitNHjGPpXJK6OX+njaG4qIxjfc1vXr8p84VrhsCNox6JxDhssuKwHyYGe9+ciVhPG1Bz&#10;RwvPmfngSOC0LLMBs7GfjWMAfehoxmXuh+HtMdI0ecjUYYSdGtPTZZrTmqXd+NvPVY+/1v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L1fV2TQAQAAogMAAA4AAAAAAAAAAQAgAAAAHwEAAGRy&#10;cy9lMm9Eb2MueG1sUEsFBgAAAAAGAAYAWQEAAGEFAAAAAA==&#10;">
              <v:fill on="f" focussize="0,0"/>
              <v:stroke on="f" weight="0.5pt"/>
              <v:imagedata o:title=""/>
              <o:lock v:ext="edit" aspectratio="f"/>
              <v:textbox inset="0mm,0mm,0mm,0mm" style="mso-fit-shape-to-text:t;">
                <w:txbxContent>
                  <w:p>
                    <w:pPr>
                      <w:pStyle w:val="3"/>
                      <w:rPr>
                        <w:rFonts w:hint="default"/>
                      </w:rPr>
                    </w:pPr>
                    <w:r>
                      <w:rPr>
                        <w:rFonts w:hint="default"/>
                      </w:rPr>
                      <w:fldChar w:fldCharType="begin"/>
                    </w:r>
                    <w:r>
                      <w:instrText xml:space="preserve"> PAGE  \* MERGEFORMAT </w:instrText>
                    </w:r>
                    <w:r>
                      <w:rPr>
                        <w:rFonts w:hint="default"/>
                      </w:rPr>
                      <w:fldChar w:fldCharType="separate"/>
                    </w:r>
                    <w:r>
                      <w:rPr>
                        <w:rFonts w:hint="default"/>
                      </w:rPr>
                      <w:t>- 9 -</w:t>
                    </w:r>
                    <w:r>
                      <w:rPr>
                        <w:rFonts w:hint="default"/>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rPr>
                              <w:rFonts w:hint="default"/>
                            </w:rPr>
                          </w:pPr>
                          <w:r>
                            <w:rPr>
                              <w:rFonts w:hint="default"/>
                            </w:rPr>
                            <w:fldChar w:fldCharType="begin"/>
                          </w:r>
                          <w:r>
                            <w:instrText xml:space="preserve">PAGE   \* MERGEFORMAT</w:instrText>
                          </w:r>
                          <w:r>
                            <w:rPr>
                              <w:rFonts w:hint="default"/>
                            </w:rPr>
                            <w:fldChar w:fldCharType="separate"/>
                          </w:r>
                          <w:r>
                            <w:rPr>
                              <w:rFonts w:hint="default"/>
                              <w:lang w:val="zh-CN"/>
                            </w:rPr>
                            <w:t>-</w:t>
                          </w:r>
                          <w:r>
                            <w:rPr>
                              <w:rFonts w:hint="default"/>
                            </w:rPr>
                            <w:t xml:space="preserve"> 37 -</w:t>
                          </w:r>
                          <w:r>
                            <w:rPr>
                              <w:rFonts w:hint="default"/>
                            </w:rP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Z2BCqdIBAACiAwAADgAAAAAAAAABACAAAAAfAQAA&#10;ZHJzL2Uyb0RvYy54bWxQSwUGAAAAAAYABgBZAQAAYwUAAAAA&#10;">
              <v:fill on="f" focussize="0,0"/>
              <v:stroke on="f" weight="0.5pt"/>
              <v:imagedata o:title=""/>
              <o:lock v:ext="edit" aspectratio="f"/>
              <v:textbox inset="0mm,0mm,0mm,0mm" style="mso-fit-shape-to-text:t;">
                <w:txbxContent>
                  <w:p>
                    <w:pPr>
                      <w:pStyle w:val="3"/>
                      <w:rPr>
                        <w:rFonts w:hint="default"/>
                      </w:rPr>
                    </w:pPr>
                    <w:r>
                      <w:rPr>
                        <w:rFonts w:hint="default"/>
                      </w:rPr>
                      <w:fldChar w:fldCharType="begin"/>
                    </w:r>
                    <w:r>
                      <w:instrText xml:space="preserve">PAGE   \* MERGEFORMAT</w:instrText>
                    </w:r>
                    <w:r>
                      <w:rPr>
                        <w:rFonts w:hint="default"/>
                      </w:rPr>
                      <w:fldChar w:fldCharType="separate"/>
                    </w:r>
                    <w:r>
                      <w:rPr>
                        <w:rFonts w:hint="default"/>
                        <w:lang w:val="zh-CN"/>
                      </w:rPr>
                      <w:t>-</w:t>
                    </w:r>
                    <w:r>
                      <w:rPr>
                        <w:rFonts w:hint="default"/>
                      </w:rPr>
                      <w:t xml:space="preserve"> 37 -</w:t>
                    </w:r>
                    <w:r>
                      <w:rPr>
                        <w:rFonts w:hint="default"/>
                      </w:rPr>
                      <w:fldChar w:fldCharType="end"/>
                    </w:r>
                  </w:p>
                </w:txbxContent>
              </v:textbox>
            </v:shape>
          </w:pict>
        </mc:Fallback>
      </mc:AlternateContent>
    </w: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ge">
                <wp:posOffset>14737080</wp:posOffset>
              </wp:positionV>
              <wp:extent cx="1828800" cy="22098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wps:spPr>
                    <wps:txbx>
                      <w:txbxContent>
                        <w:p>
                          <w:pPr>
                            <w:pStyle w:val="3"/>
                            <w:jc w:val="both"/>
                            <w:rPr>
                              <w:rFonts w:hint="default" w:cs="宋体"/>
                            </w:rPr>
                          </w:pPr>
                          <w:r>
                            <w:rPr>
                              <w:rFonts w:cs="宋体"/>
                            </w:rPr>
                            <w:t>— 27.1 —</w:t>
                          </w:r>
                        </w:p>
                      </w:txbxContent>
                    </wps:txbx>
                    <wps:bodyPr wrap="none" lIns="0" tIns="0" rIns="0" bIns="0" upright="1"/>
                  </wps:wsp>
                </a:graphicData>
              </a:graphic>
            </wp:anchor>
          </w:drawing>
        </mc:Choice>
        <mc:Fallback>
          <w:pict>
            <v:shape id="文本框 3" o:spid="_x0000_s1026"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4DVRU2AAAAAoBAAAPAAAAAAAAAAEAIAAAACIAAABkcnMv&#10;ZG93bnJldi54bWxQSwECFAAUAAAACACHTuJATWczxMoBAACHAwAADgAAAAAAAAABACAAAAAnAQAA&#10;ZHJzL2Uyb0RvYy54bWxQSwUGAAAAAAYABgBZAQAAYwU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HorizontalSpacing w:val="120"/>
  <w:drawingGridVerticalSpacing w:val="163"/>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ZTE0N2Y1Zjg5MDY5N2VmYTcxYzFkM2Q0MjIxMDAifQ=="/>
  </w:docVars>
  <w:rsids>
    <w:rsidRoot w:val="00B03CCD"/>
    <w:rsid w:val="000239C6"/>
    <w:rsid w:val="000942AC"/>
    <w:rsid w:val="000F1F0A"/>
    <w:rsid w:val="001D3BB7"/>
    <w:rsid w:val="002775F3"/>
    <w:rsid w:val="002921D6"/>
    <w:rsid w:val="002B254B"/>
    <w:rsid w:val="002C184E"/>
    <w:rsid w:val="00306765"/>
    <w:rsid w:val="0034050A"/>
    <w:rsid w:val="00344D82"/>
    <w:rsid w:val="003454EB"/>
    <w:rsid w:val="0044504F"/>
    <w:rsid w:val="00466C9B"/>
    <w:rsid w:val="00486CFC"/>
    <w:rsid w:val="00491DDD"/>
    <w:rsid w:val="004942F2"/>
    <w:rsid w:val="004B167A"/>
    <w:rsid w:val="00550327"/>
    <w:rsid w:val="00550ABE"/>
    <w:rsid w:val="005C3D18"/>
    <w:rsid w:val="005E562C"/>
    <w:rsid w:val="005F3100"/>
    <w:rsid w:val="00623A85"/>
    <w:rsid w:val="00651C8F"/>
    <w:rsid w:val="006C383E"/>
    <w:rsid w:val="00770383"/>
    <w:rsid w:val="007819D4"/>
    <w:rsid w:val="007B419D"/>
    <w:rsid w:val="007B7C4B"/>
    <w:rsid w:val="007D3D39"/>
    <w:rsid w:val="007F25DD"/>
    <w:rsid w:val="008B3213"/>
    <w:rsid w:val="009328AD"/>
    <w:rsid w:val="00942680"/>
    <w:rsid w:val="00984C6A"/>
    <w:rsid w:val="00994AF7"/>
    <w:rsid w:val="009B67B8"/>
    <w:rsid w:val="009C14C9"/>
    <w:rsid w:val="009D2B67"/>
    <w:rsid w:val="009E1452"/>
    <w:rsid w:val="009F197E"/>
    <w:rsid w:val="00A429B0"/>
    <w:rsid w:val="00A566F9"/>
    <w:rsid w:val="00AB20DB"/>
    <w:rsid w:val="00AD4356"/>
    <w:rsid w:val="00AF2751"/>
    <w:rsid w:val="00B03CCD"/>
    <w:rsid w:val="00B53DE4"/>
    <w:rsid w:val="00BE2B89"/>
    <w:rsid w:val="00BF0D89"/>
    <w:rsid w:val="00BF4F70"/>
    <w:rsid w:val="00C10E9E"/>
    <w:rsid w:val="00C20C3E"/>
    <w:rsid w:val="00C5163E"/>
    <w:rsid w:val="00CF2ACF"/>
    <w:rsid w:val="00D03AAF"/>
    <w:rsid w:val="00DD0539"/>
    <w:rsid w:val="00E07662"/>
    <w:rsid w:val="00E368E9"/>
    <w:rsid w:val="00E810DA"/>
    <w:rsid w:val="00EE1E33"/>
    <w:rsid w:val="00F65B91"/>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63C3C"/>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2E74A3D"/>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156211"/>
    <w:rsid w:val="1B6F15B6"/>
    <w:rsid w:val="1BAA2EDC"/>
    <w:rsid w:val="1C072FF9"/>
    <w:rsid w:val="1CA55E64"/>
    <w:rsid w:val="1CCF275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2FC22DB"/>
    <w:rsid w:val="235417B6"/>
    <w:rsid w:val="24B92327"/>
    <w:rsid w:val="24C14514"/>
    <w:rsid w:val="252D4D73"/>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0BE67FD"/>
    <w:rsid w:val="315F0B22"/>
    <w:rsid w:val="31A15828"/>
    <w:rsid w:val="31D84415"/>
    <w:rsid w:val="32285F6F"/>
    <w:rsid w:val="323D1A1A"/>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504B6EAA"/>
    <w:rsid w:val="50B56EA5"/>
    <w:rsid w:val="50F06B6E"/>
    <w:rsid w:val="51D21804"/>
    <w:rsid w:val="52234D33"/>
    <w:rsid w:val="522F6E0C"/>
    <w:rsid w:val="52463BA1"/>
    <w:rsid w:val="52F163D4"/>
    <w:rsid w:val="531A2DB4"/>
    <w:rsid w:val="53865558"/>
    <w:rsid w:val="53C0244D"/>
    <w:rsid w:val="53DD4D4E"/>
    <w:rsid w:val="53E578CE"/>
    <w:rsid w:val="541330F0"/>
    <w:rsid w:val="54272666"/>
    <w:rsid w:val="543B029D"/>
    <w:rsid w:val="54861779"/>
    <w:rsid w:val="54BF1528"/>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7544CA"/>
    <w:rsid w:val="60C7302A"/>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9F7A47"/>
    <w:rsid w:val="6DA955B8"/>
    <w:rsid w:val="6DE346AB"/>
    <w:rsid w:val="6DE5391A"/>
    <w:rsid w:val="6EFD1324"/>
    <w:rsid w:val="6F5A53AC"/>
    <w:rsid w:val="6FAC003D"/>
    <w:rsid w:val="6FD926BF"/>
    <w:rsid w:val="6FE55E12"/>
    <w:rsid w:val="6FFB2E76"/>
    <w:rsid w:val="708F6F7F"/>
    <w:rsid w:val="70D94BD3"/>
    <w:rsid w:val="71574775"/>
    <w:rsid w:val="718A1956"/>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basedOn w:val="9"/>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列出段落3"/>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52flin</Company>
  <Pages>36</Pages>
  <Words>14397</Words>
  <Characters>21725</Characters>
  <Lines>184</Lines>
  <Paragraphs>52</Paragraphs>
  <TotalTime>4</TotalTime>
  <ScaleCrop>false</ScaleCrop>
  <LinksUpToDate>false</LinksUpToDate>
  <CharactersWithSpaces>22172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2025-09-09T03:06:00Z</dcterms:created>
  <dc:creator>Administrator</dc:creator>
  <cp:lastModifiedBy>Administrator</cp:lastModifiedBy>
  <dcterms:modified xsi:type="dcterms:W3CDTF">2026-07-27T01:30:10Z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49802F7720174A7FB92CD79BCAFA06F0_13</vt:lpwstr>
  </property>
  <property fmtid="{D5CDD505-2E9C-101B-9397-08002B2CF9AE}" pid="4" name="KSOTemplateDocerSaveRecord">
    <vt:lpwstr>eyJoZGlkIjoiNDExNTQ5YzhjNjE2NTBlMzJhM2Y3ZmZjNjA0NmIwMWMiLCJ1c2VySWQiOiI0MTUzNjEzMTcifQ==</vt:lpwstr>
  </property>
</Properties>
</file>