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62C" w:rsidRDefault="000942AC">
      <w:pPr>
        <w:spacing w:line="594" w:lineRule="exact"/>
        <w:jc w:val="center"/>
        <w:rPr>
          <w:rFonts w:ascii="方正小标宋_GBK" w:eastAsia="方正小标宋_GBK" w:hAnsiTheme="minorHAnsi" w:cstheme="minorBidi" w:hint="default"/>
          <w:kern w:val="2"/>
          <w:sz w:val="44"/>
          <w:szCs w:val="44"/>
        </w:rPr>
      </w:pPr>
      <w:r>
        <w:rPr>
          <w:rFonts w:ascii="方正小标宋_GBK" w:eastAsia="方正小标宋_GBK" w:hAnsiTheme="minorHAnsi" w:cstheme="minorBidi"/>
          <w:kern w:val="2"/>
          <w:sz w:val="44"/>
          <w:szCs w:val="44"/>
        </w:rPr>
        <w:t>巫山县当阳乡人民政府（本级）</w:t>
      </w:r>
    </w:p>
    <w:p w:rsidR="005E562C" w:rsidRDefault="000942AC">
      <w:pPr>
        <w:spacing w:line="594" w:lineRule="exact"/>
        <w:jc w:val="center"/>
        <w:rPr>
          <w:rFonts w:ascii="方正小标宋_GBK" w:eastAsia="方正小标宋_GBK" w:hAnsiTheme="minorHAnsi" w:cstheme="minorBidi" w:hint="default"/>
          <w:kern w:val="2"/>
          <w:sz w:val="44"/>
          <w:szCs w:val="44"/>
        </w:rPr>
      </w:pPr>
      <w:r>
        <w:rPr>
          <w:rFonts w:ascii="方正小标宋_GBK" w:eastAsia="方正小标宋_GBK" w:hAnsiTheme="minorHAnsi" w:cstheme="minorBidi" w:hint="default"/>
          <w:kern w:val="2"/>
          <w:sz w:val="44"/>
          <w:szCs w:val="44"/>
        </w:rPr>
        <w:t>2024</w:t>
      </w:r>
      <w:r>
        <w:rPr>
          <w:rFonts w:ascii="方正小标宋_GBK" w:eastAsia="方正小标宋_GBK" w:hAnsiTheme="minorHAnsi" w:cstheme="minorBidi"/>
          <w:kern w:val="2"/>
          <w:sz w:val="44"/>
          <w:szCs w:val="44"/>
        </w:rPr>
        <w:t>年度决算公开说明</w:t>
      </w:r>
    </w:p>
    <w:p w:rsidR="005E562C" w:rsidRDefault="005E562C">
      <w:pPr>
        <w:spacing w:line="594" w:lineRule="exact"/>
        <w:ind w:firstLineChars="200" w:firstLine="640"/>
        <w:rPr>
          <w:rFonts w:ascii="方正黑体_GBK" w:eastAsia="方正黑体_GBK" w:hAnsiTheme="minorHAnsi" w:cstheme="minorBidi" w:hint="default"/>
          <w:kern w:val="2"/>
          <w:sz w:val="32"/>
          <w:szCs w:val="32"/>
        </w:rPr>
      </w:pPr>
    </w:p>
    <w:p w:rsidR="005E562C" w:rsidRDefault="000942AC">
      <w:pPr>
        <w:spacing w:line="594" w:lineRule="exact"/>
        <w:ind w:firstLineChars="200" w:firstLine="640"/>
        <w:rPr>
          <w:rFonts w:ascii="方正黑体_GBK" w:eastAsia="方正黑体_GBK" w:hAnsiTheme="minorHAnsi" w:cstheme="minorBidi" w:hint="default"/>
          <w:kern w:val="2"/>
          <w:sz w:val="32"/>
          <w:szCs w:val="32"/>
        </w:rPr>
      </w:pPr>
      <w:r>
        <w:rPr>
          <w:rFonts w:ascii="方正黑体_GBK" w:eastAsia="方正黑体_GBK" w:hAnsiTheme="minorHAnsi" w:cstheme="minorBidi"/>
          <w:kern w:val="2"/>
          <w:sz w:val="32"/>
          <w:szCs w:val="32"/>
        </w:rPr>
        <w:t>一、单位基本情况</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（一）职能职责</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一是执行国家行政机关的决定、命令和国家制定的法令、法规，执行本级人民代表大会的各项决议，并报告执行决议、决定和命令的情况。二是制定并落实本行政区域的经济计划和措施，促进产业结构调整及其他经济保持平衡协调发展，全面提高人民群众的生活水平和生活质量。三是承担国有资产、集体资产管理、监督及增值保值责任。四是保护公民私人所有合法财产，保障集体经济组织应有的自主权。五是开展社会主义民主和法制的宣传教育，保障公民的权利，打击违法犯罪，维护社会稳定。六是制定社会各项事业发展计划，发展教育、卫生、科技、民政、广播电视、文化</w:t>
      </w:r>
      <w:r>
        <w:rPr>
          <w:rFonts w:ascii="方正仿宋_GBK" w:eastAsia="方正仿宋_GBK"/>
          <w:sz w:val="32"/>
          <w:szCs w:val="32"/>
        </w:rPr>
        <w:t>、体育事业。七是组织实施义务教育和其他各类教育，推进社会保障、社会福利事业和养老保险工作。八是加强乡镇财政的监督和管理，按计划组织、管理乡镇财政收入和支出，执行国家有关财经纪律和政策，保证国家财政收入的完成。九是做好统计工作。指导、支持、帮助村民委员会的组织制度建设和业务建设，促进村民委员会民主自治。十是制定和组织实施乡村建设规划，加强公用、市政设施、水利建设和管理以及房屋</w:t>
      </w:r>
      <w:r>
        <w:rPr>
          <w:rFonts w:ascii="方正仿宋_GBK" w:eastAsia="方正仿宋_GBK"/>
          <w:sz w:val="32"/>
          <w:szCs w:val="32"/>
        </w:rPr>
        <w:lastRenderedPageBreak/>
        <w:t>土地管理和环境综合治理工作，保护和改善生活环境和生态环境。</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（二）机构设置</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我乡共设置综合性办事机构</w:t>
      </w:r>
      <w:r>
        <w:rPr>
          <w:rFonts w:ascii="方正仿宋_GBK" w:eastAsia="方正仿宋_GBK"/>
          <w:sz w:val="32"/>
          <w:szCs w:val="32"/>
        </w:rPr>
        <w:t>5</w:t>
      </w:r>
      <w:r>
        <w:rPr>
          <w:rFonts w:ascii="方正仿宋_GBK" w:eastAsia="方正仿宋_GBK"/>
          <w:sz w:val="32"/>
          <w:szCs w:val="32"/>
        </w:rPr>
        <w:t>个，即：基层治理综合指挥室、党的建</w:t>
      </w:r>
      <w:r>
        <w:rPr>
          <w:rFonts w:ascii="方正仿宋_GBK" w:eastAsia="方正仿宋_GBK"/>
          <w:sz w:val="32"/>
          <w:szCs w:val="32"/>
        </w:rPr>
        <w:t>设办公室、经济发展办公室、民生服务办公室、平安法治办公室；行政编制</w:t>
      </w:r>
      <w:r>
        <w:rPr>
          <w:rFonts w:ascii="方正仿宋_GBK" w:eastAsia="方正仿宋_GBK"/>
          <w:sz w:val="32"/>
          <w:szCs w:val="32"/>
        </w:rPr>
        <w:t>21</w:t>
      </w:r>
      <w:r>
        <w:rPr>
          <w:rFonts w:ascii="方正仿宋_GBK" w:eastAsia="方正仿宋_GBK"/>
          <w:sz w:val="32"/>
          <w:szCs w:val="32"/>
        </w:rPr>
        <w:t>人。</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（三）单位构成</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本单位无下级预算单位。</w:t>
      </w:r>
    </w:p>
    <w:p w:rsidR="005E562C" w:rsidRDefault="000942AC">
      <w:pPr>
        <w:spacing w:line="594" w:lineRule="exact"/>
        <w:ind w:firstLineChars="200" w:firstLine="640"/>
        <w:rPr>
          <w:rFonts w:ascii="方正黑体_GBK" w:eastAsia="方正黑体_GBK" w:hAnsiTheme="minorHAnsi" w:cstheme="minorBidi" w:hint="default"/>
          <w:kern w:val="2"/>
          <w:sz w:val="32"/>
          <w:szCs w:val="32"/>
        </w:rPr>
      </w:pPr>
      <w:r>
        <w:rPr>
          <w:rFonts w:ascii="方正黑体_GBK" w:eastAsia="方正黑体_GBK" w:hAnsiTheme="minorHAnsi" w:cstheme="minorBidi"/>
          <w:kern w:val="2"/>
          <w:sz w:val="32"/>
          <w:szCs w:val="32"/>
        </w:rPr>
        <w:t>二、单位决算收支情况说明</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（一）收入支出决算总体情况说明。</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1.</w:t>
      </w:r>
      <w:r>
        <w:rPr>
          <w:rFonts w:ascii="方正仿宋_GBK" w:eastAsia="方正仿宋_GBK"/>
          <w:b/>
          <w:sz w:val="32"/>
          <w:szCs w:val="32"/>
        </w:rPr>
        <w:t>总体情况。</w:t>
      </w:r>
      <w:r>
        <w:rPr>
          <w:rFonts w:ascii="方正仿宋_GBK" w:eastAsia="方正仿宋_GBK"/>
          <w:sz w:val="32"/>
          <w:szCs w:val="32"/>
        </w:rPr>
        <w:t>2024</w:t>
      </w:r>
      <w:r>
        <w:rPr>
          <w:rFonts w:ascii="方正仿宋_GBK" w:eastAsia="方正仿宋_GBK"/>
          <w:sz w:val="32"/>
          <w:szCs w:val="32"/>
        </w:rPr>
        <w:t>年度收入总计</w:t>
      </w:r>
      <w:r>
        <w:rPr>
          <w:rFonts w:ascii="方正仿宋_GBK" w:eastAsia="方正仿宋_GBK"/>
          <w:sz w:val="32"/>
          <w:szCs w:val="32"/>
        </w:rPr>
        <w:t>1429.2</w:t>
      </w:r>
      <w:r>
        <w:rPr>
          <w:rFonts w:ascii="方正仿宋_GBK" w:eastAsia="方正仿宋_GBK"/>
          <w:sz w:val="32"/>
          <w:szCs w:val="32"/>
        </w:rPr>
        <w:t>万元，支出总计</w:t>
      </w:r>
      <w:r>
        <w:rPr>
          <w:rFonts w:ascii="方正仿宋_GBK" w:eastAsia="方正仿宋_GBK"/>
          <w:sz w:val="32"/>
          <w:szCs w:val="32"/>
        </w:rPr>
        <w:t>1429.2</w:t>
      </w:r>
      <w:r>
        <w:rPr>
          <w:rFonts w:ascii="方正仿宋_GBK" w:eastAsia="方正仿宋_GBK"/>
          <w:sz w:val="32"/>
          <w:szCs w:val="32"/>
        </w:rPr>
        <w:t>万元。收、支与</w:t>
      </w:r>
      <w:r>
        <w:rPr>
          <w:rFonts w:ascii="方正仿宋_GBK" w:eastAsia="方正仿宋_GBK"/>
          <w:sz w:val="32"/>
          <w:szCs w:val="32"/>
        </w:rPr>
        <w:t>2023</w:t>
      </w:r>
      <w:r>
        <w:rPr>
          <w:rFonts w:ascii="方正仿宋_GBK" w:eastAsia="方正仿宋_GBK"/>
          <w:sz w:val="32"/>
          <w:szCs w:val="32"/>
        </w:rPr>
        <w:t>年度相比，减少</w:t>
      </w:r>
      <w:r>
        <w:rPr>
          <w:rFonts w:ascii="方正仿宋_GBK" w:eastAsia="方正仿宋_GBK"/>
          <w:sz w:val="32"/>
          <w:szCs w:val="32"/>
        </w:rPr>
        <w:t>230.43</w:t>
      </w:r>
      <w:r>
        <w:rPr>
          <w:rFonts w:ascii="方正仿宋_GBK" w:eastAsia="方正仿宋_GBK"/>
          <w:sz w:val="32"/>
          <w:szCs w:val="32"/>
        </w:rPr>
        <w:t>万元，下降</w:t>
      </w:r>
      <w:r>
        <w:rPr>
          <w:rFonts w:ascii="方正仿宋_GBK" w:eastAsia="方正仿宋_GBK"/>
          <w:sz w:val="32"/>
          <w:szCs w:val="32"/>
        </w:rPr>
        <w:t>13.9%</w:t>
      </w:r>
      <w:r>
        <w:rPr>
          <w:rFonts w:ascii="方正仿宋_GBK" w:eastAsia="方正仿宋_GBK"/>
          <w:sz w:val="32"/>
          <w:szCs w:val="32"/>
        </w:rPr>
        <w:t>，主要原因是下达项目资金减少：</w:t>
      </w:r>
      <w:r>
        <w:rPr>
          <w:rFonts w:ascii="方正仿宋_GBK" w:eastAsia="方正仿宋_GBK"/>
          <w:sz w:val="32"/>
          <w:szCs w:val="32"/>
        </w:rPr>
        <w:t>2023</w:t>
      </w:r>
      <w:r>
        <w:rPr>
          <w:rFonts w:ascii="方正仿宋_GBK" w:eastAsia="方正仿宋_GBK"/>
          <w:sz w:val="32"/>
          <w:szCs w:val="32"/>
        </w:rPr>
        <w:t>年农副产品加工基地配套设施项目、交通项目、里河村产业道路硬化项目、</w:t>
      </w:r>
      <w:r>
        <w:rPr>
          <w:rFonts w:ascii="方正仿宋_GBK" w:eastAsia="方正仿宋_GBK"/>
          <w:sz w:val="32"/>
          <w:szCs w:val="32"/>
        </w:rPr>
        <w:t>2023</w:t>
      </w:r>
      <w:r>
        <w:rPr>
          <w:rFonts w:ascii="方正仿宋_GBK" w:eastAsia="方正仿宋_GBK"/>
          <w:sz w:val="32"/>
          <w:szCs w:val="32"/>
        </w:rPr>
        <w:t>年当阳乡秋月梨、海洋甜柿种植项目等。</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2.</w:t>
      </w:r>
      <w:r>
        <w:rPr>
          <w:rFonts w:ascii="方正仿宋_GBK" w:eastAsia="方正仿宋_GBK"/>
          <w:b/>
          <w:sz w:val="32"/>
          <w:szCs w:val="32"/>
        </w:rPr>
        <w:t>收入情况。</w:t>
      </w:r>
      <w:r>
        <w:rPr>
          <w:rFonts w:ascii="方正仿宋_GBK" w:eastAsia="方正仿宋_GBK"/>
          <w:sz w:val="32"/>
          <w:szCs w:val="32"/>
        </w:rPr>
        <w:t>2024</w:t>
      </w:r>
      <w:r>
        <w:rPr>
          <w:rFonts w:ascii="方正仿宋_GBK" w:eastAsia="方正仿宋_GBK"/>
          <w:sz w:val="32"/>
          <w:szCs w:val="32"/>
        </w:rPr>
        <w:t>年度收入合计</w:t>
      </w:r>
      <w:r>
        <w:rPr>
          <w:rFonts w:ascii="方正仿宋_GBK" w:eastAsia="方正仿宋_GBK"/>
          <w:sz w:val="32"/>
          <w:szCs w:val="32"/>
        </w:rPr>
        <w:t>1429.2</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年度相比，减少</w:t>
      </w:r>
      <w:r>
        <w:rPr>
          <w:rFonts w:ascii="方正仿宋_GBK" w:eastAsia="方正仿宋_GBK"/>
          <w:sz w:val="32"/>
          <w:szCs w:val="32"/>
        </w:rPr>
        <w:t>229.43</w:t>
      </w:r>
      <w:r>
        <w:rPr>
          <w:rFonts w:ascii="方正仿宋_GBK" w:eastAsia="方正仿宋_GBK"/>
          <w:sz w:val="32"/>
          <w:szCs w:val="32"/>
        </w:rPr>
        <w:t>万元，下降</w:t>
      </w:r>
      <w:r>
        <w:rPr>
          <w:rFonts w:ascii="方正仿宋_GBK" w:eastAsia="方正仿宋_GBK"/>
          <w:sz w:val="32"/>
          <w:szCs w:val="32"/>
        </w:rPr>
        <w:t>13.8%</w:t>
      </w:r>
      <w:r>
        <w:rPr>
          <w:rFonts w:ascii="方正仿宋_GBK" w:eastAsia="方正仿宋_GBK"/>
          <w:sz w:val="32"/>
          <w:szCs w:val="32"/>
        </w:rPr>
        <w:t>，主要原因是下达项目资金减少：</w:t>
      </w:r>
      <w:r>
        <w:rPr>
          <w:rFonts w:ascii="方正仿宋_GBK" w:eastAsia="方正仿宋_GBK"/>
          <w:sz w:val="32"/>
          <w:szCs w:val="32"/>
        </w:rPr>
        <w:t>2023</w:t>
      </w:r>
      <w:r>
        <w:rPr>
          <w:rFonts w:ascii="方正仿宋_GBK" w:eastAsia="方正仿宋_GBK"/>
          <w:sz w:val="32"/>
          <w:szCs w:val="32"/>
        </w:rPr>
        <w:t>年农副产品加工基地配套设施项目、交通项目、里河村产业道路硬化项目、</w:t>
      </w:r>
      <w:r>
        <w:rPr>
          <w:rFonts w:ascii="方正仿宋_GBK" w:eastAsia="方正仿宋_GBK"/>
          <w:sz w:val="32"/>
          <w:szCs w:val="32"/>
        </w:rPr>
        <w:t>2023</w:t>
      </w:r>
      <w:r>
        <w:rPr>
          <w:rFonts w:ascii="方正仿宋_GBK" w:eastAsia="方正仿宋_GBK"/>
          <w:sz w:val="32"/>
          <w:szCs w:val="32"/>
        </w:rPr>
        <w:t>年当阳乡秋月梨、海洋甜柿种植项目等。其中：财政拨款收入</w:t>
      </w:r>
      <w:r>
        <w:rPr>
          <w:rFonts w:ascii="方正仿宋_GBK" w:eastAsia="方正仿宋_GBK"/>
          <w:sz w:val="32"/>
          <w:szCs w:val="32"/>
        </w:rPr>
        <w:t>1429.2</w:t>
      </w:r>
      <w:r>
        <w:rPr>
          <w:rFonts w:ascii="方正仿宋_GBK" w:eastAsia="方正仿宋_GBK"/>
          <w:sz w:val="32"/>
          <w:szCs w:val="32"/>
        </w:rPr>
        <w:t>万元，占</w:t>
      </w:r>
      <w:r>
        <w:rPr>
          <w:rFonts w:ascii="方正仿宋_GBK" w:eastAsia="方正仿宋_GBK"/>
          <w:sz w:val="32"/>
          <w:szCs w:val="32"/>
        </w:rPr>
        <w:t>100.0%</w:t>
      </w:r>
      <w:r>
        <w:rPr>
          <w:rFonts w:ascii="方正仿宋_GBK" w:eastAsia="方正仿宋_GBK"/>
          <w:sz w:val="32"/>
          <w:szCs w:val="32"/>
        </w:rPr>
        <w:t>；事业收入</w:t>
      </w:r>
      <w:r>
        <w:rPr>
          <w:rFonts w:ascii="方正仿宋_GBK" w:eastAsia="方正仿宋_GBK"/>
          <w:sz w:val="32"/>
          <w:szCs w:val="32"/>
        </w:rPr>
        <w:t>0.0</w:t>
      </w:r>
      <w:r>
        <w:rPr>
          <w:rFonts w:ascii="方正仿宋_GBK" w:eastAsia="方正仿宋_GBK"/>
          <w:sz w:val="32"/>
          <w:szCs w:val="32"/>
        </w:rPr>
        <w:t>万元，占</w:t>
      </w:r>
      <w:r>
        <w:rPr>
          <w:rFonts w:ascii="方正仿宋_GBK" w:eastAsia="方正仿宋_GBK"/>
          <w:sz w:val="32"/>
          <w:szCs w:val="32"/>
        </w:rPr>
        <w:t>0.0%</w:t>
      </w:r>
      <w:r>
        <w:rPr>
          <w:rFonts w:ascii="方正仿宋_GBK" w:eastAsia="方正仿宋_GBK"/>
          <w:sz w:val="32"/>
          <w:szCs w:val="32"/>
        </w:rPr>
        <w:t>；经营收入</w:t>
      </w:r>
      <w:r>
        <w:rPr>
          <w:rFonts w:ascii="方正仿宋_GBK" w:eastAsia="方正仿宋_GBK"/>
          <w:sz w:val="32"/>
          <w:szCs w:val="32"/>
        </w:rPr>
        <w:t>0.0</w:t>
      </w:r>
      <w:r>
        <w:rPr>
          <w:rFonts w:ascii="方正仿宋_GBK" w:eastAsia="方正仿宋_GBK"/>
          <w:sz w:val="32"/>
          <w:szCs w:val="32"/>
        </w:rPr>
        <w:t>万元，占</w:t>
      </w:r>
      <w:r>
        <w:rPr>
          <w:rFonts w:ascii="方正仿宋_GBK" w:eastAsia="方正仿宋_GBK"/>
          <w:sz w:val="32"/>
          <w:szCs w:val="32"/>
        </w:rPr>
        <w:t>0.0%</w:t>
      </w:r>
      <w:r>
        <w:rPr>
          <w:rFonts w:ascii="方正仿宋_GBK" w:eastAsia="方正仿宋_GBK"/>
          <w:sz w:val="32"/>
          <w:szCs w:val="32"/>
        </w:rPr>
        <w:t>；其他收入</w:t>
      </w:r>
      <w:r>
        <w:rPr>
          <w:rFonts w:ascii="方正仿宋_GBK" w:eastAsia="方正仿宋_GBK"/>
          <w:sz w:val="32"/>
          <w:szCs w:val="32"/>
        </w:rPr>
        <w:t>0.0</w:t>
      </w:r>
      <w:r>
        <w:rPr>
          <w:rFonts w:ascii="方正仿宋_GBK" w:eastAsia="方正仿宋_GBK"/>
          <w:sz w:val="32"/>
          <w:szCs w:val="32"/>
        </w:rPr>
        <w:t>万元，占</w:t>
      </w:r>
      <w:r>
        <w:rPr>
          <w:rFonts w:ascii="方正仿宋_GBK" w:eastAsia="方正仿宋_GBK"/>
          <w:sz w:val="32"/>
          <w:szCs w:val="32"/>
        </w:rPr>
        <w:t>0.0%</w:t>
      </w:r>
      <w:r>
        <w:rPr>
          <w:rFonts w:ascii="方正仿宋_GBK" w:eastAsia="方正仿宋_GBK"/>
          <w:sz w:val="32"/>
          <w:szCs w:val="32"/>
        </w:rPr>
        <w:t>。此外，使用非财政拨款结余和专用结余</w:t>
      </w:r>
      <w:r>
        <w:rPr>
          <w:rFonts w:ascii="方正仿宋_GBK" w:eastAsia="方正仿宋_GBK"/>
          <w:sz w:val="32"/>
          <w:szCs w:val="32"/>
        </w:rPr>
        <w:t>0.0</w:t>
      </w:r>
      <w:r>
        <w:rPr>
          <w:rFonts w:ascii="方正仿宋_GBK" w:eastAsia="方正仿宋_GBK"/>
          <w:sz w:val="32"/>
          <w:szCs w:val="32"/>
        </w:rPr>
        <w:t>万元，年初结转和结余</w:t>
      </w:r>
      <w:r>
        <w:rPr>
          <w:rFonts w:ascii="方正仿宋_GBK" w:eastAsia="方正仿宋_GBK"/>
          <w:sz w:val="32"/>
          <w:szCs w:val="32"/>
        </w:rPr>
        <w:t>0.0</w:t>
      </w:r>
      <w:r>
        <w:rPr>
          <w:rFonts w:ascii="方正仿宋_GBK" w:eastAsia="方正仿宋_GBK"/>
          <w:sz w:val="32"/>
          <w:szCs w:val="32"/>
        </w:rPr>
        <w:t>万元。</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lastRenderedPageBreak/>
        <w:t>3.</w:t>
      </w:r>
      <w:r>
        <w:rPr>
          <w:rFonts w:ascii="方正仿宋_GBK" w:eastAsia="方正仿宋_GBK"/>
          <w:b/>
          <w:sz w:val="32"/>
          <w:szCs w:val="32"/>
        </w:rPr>
        <w:t>支出情况。</w:t>
      </w:r>
      <w:r>
        <w:rPr>
          <w:rFonts w:ascii="方正仿宋_GBK" w:eastAsia="方正仿宋_GBK"/>
          <w:sz w:val="32"/>
          <w:szCs w:val="32"/>
        </w:rPr>
        <w:t>2024</w:t>
      </w:r>
      <w:r>
        <w:rPr>
          <w:rFonts w:ascii="方正仿宋_GBK" w:eastAsia="方正仿宋_GBK"/>
          <w:sz w:val="32"/>
          <w:szCs w:val="32"/>
        </w:rPr>
        <w:t>年度支出合计</w:t>
      </w:r>
      <w:r>
        <w:rPr>
          <w:rFonts w:ascii="方正仿宋_GBK" w:eastAsia="方正仿宋_GBK"/>
          <w:sz w:val="32"/>
          <w:szCs w:val="32"/>
        </w:rPr>
        <w:t>1429.2</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年度相比，减少</w:t>
      </w:r>
      <w:r>
        <w:rPr>
          <w:rFonts w:ascii="方正仿宋_GBK" w:eastAsia="方正仿宋_GBK"/>
          <w:sz w:val="32"/>
          <w:szCs w:val="32"/>
        </w:rPr>
        <w:t>23</w:t>
      </w:r>
      <w:r>
        <w:rPr>
          <w:rFonts w:ascii="方正仿宋_GBK" w:eastAsia="方正仿宋_GBK"/>
          <w:sz w:val="32"/>
          <w:szCs w:val="32"/>
        </w:rPr>
        <w:t>0.43</w:t>
      </w:r>
      <w:r>
        <w:rPr>
          <w:rFonts w:ascii="方正仿宋_GBK" w:eastAsia="方正仿宋_GBK"/>
          <w:sz w:val="32"/>
          <w:szCs w:val="32"/>
        </w:rPr>
        <w:t>万元，下降</w:t>
      </w:r>
      <w:r>
        <w:rPr>
          <w:rFonts w:ascii="方正仿宋_GBK" w:eastAsia="方正仿宋_GBK"/>
          <w:sz w:val="32"/>
          <w:szCs w:val="32"/>
        </w:rPr>
        <w:t>13.9%</w:t>
      </w:r>
      <w:r>
        <w:rPr>
          <w:rFonts w:ascii="方正仿宋_GBK" w:eastAsia="方正仿宋_GBK"/>
          <w:sz w:val="32"/>
          <w:szCs w:val="32"/>
        </w:rPr>
        <w:t>，主要原因是下达项目资金减少：</w:t>
      </w:r>
      <w:r>
        <w:rPr>
          <w:rFonts w:ascii="方正仿宋_GBK" w:eastAsia="方正仿宋_GBK"/>
          <w:sz w:val="32"/>
          <w:szCs w:val="32"/>
        </w:rPr>
        <w:t>2023</w:t>
      </w:r>
      <w:r>
        <w:rPr>
          <w:rFonts w:ascii="方正仿宋_GBK" w:eastAsia="方正仿宋_GBK"/>
          <w:sz w:val="32"/>
          <w:szCs w:val="32"/>
        </w:rPr>
        <w:t>年农副产品加工基地配套设施项目、交通项目、里河村产业道路硬化项目、</w:t>
      </w:r>
      <w:r>
        <w:rPr>
          <w:rFonts w:ascii="方正仿宋_GBK" w:eastAsia="方正仿宋_GBK"/>
          <w:sz w:val="32"/>
          <w:szCs w:val="32"/>
        </w:rPr>
        <w:t>2023</w:t>
      </w:r>
      <w:r>
        <w:rPr>
          <w:rFonts w:ascii="方正仿宋_GBK" w:eastAsia="方正仿宋_GBK"/>
          <w:sz w:val="32"/>
          <w:szCs w:val="32"/>
        </w:rPr>
        <w:t>年当阳乡秋月梨、海洋甜柿种植项目等。其中：基本支出</w:t>
      </w:r>
      <w:r>
        <w:rPr>
          <w:rFonts w:ascii="方正仿宋_GBK" w:eastAsia="方正仿宋_GBK"/>
          <w:sz w:val="32"/>
          <w:szCs w:val="32"/>
        </w:rPr>
        <w:t>473.7</w:t>
      </w:r>
      <w:r>
        <w:rPr>
          <w:rFonts w:ascii="方正仿宋_GBK" w:eastAsia="方正仿宋_GBK"/>
          <w:sz w:val="32"/>
          <w:szCs w:val="32"/>
        </w:rPr>
        <w:t>万元，占</w:t>
      </w:r>
      <w:r>
        <w:rPr>
          <w:rFonts w:ascii="方正仿宋_GBK" w:eastAsia="方正仿宋_GBK"/>
          <w:sz w:val="32"/>
          <w:szCs w:val="32"/>
        </w:rPr>
        <w:t>33.1%</w:t>
      </w:r>
      <w:r>
        <w:rPr>
          <w:rFonts w:ascii="方正仿宋_GBK" w:eastAsia="方正仿宋_GBK"/>
          <w:sz w:val="32"/>
          <w:szCs w:val="32"/>
        </w:rPr>
        <w:t>；项目支出</w:t>
      </w:r>
      <w:r>
        <w:rPr>
          <w:rFonts w:ascii="方正仿宋_GBK" w:eastAsia="方正仿宋_GBK"/>
          <w:sz w:val="32"/>
          <w:szCs w:val="32"/>
        </w:rPr>
        <w:t>955.5</w:t>
      </w:r>
      <w:r>
        <w:rPr>
          <w:rFonts w:ascii="方正仿宋_GBK" w:eastAsia="方正仿宋_GBK"/>
          <w:sz w:val="32"/>
          <w:szCs w:val="32"/>
        </w:rPr>
        <w:t>万元，占</w:t>
      </w:r>
      <w:r>
        <w:rPr>
          <w:rFonts w:ascii="方正仿宋_GBK" w:eastAsia="方正仿宋_GBK"/>
          <w:sz w:val="32"/>
          <w:szCs w:val="32"/>
        </w:rPr>
        <w:t>66.9%</w:t>
      </w:r>
      <w:r>
        <w:rPr>
          <w:rFonts w:ascii="方正仿宋_GBK" w:eastAsia="方正仿宋_GBK"/>
          <w:sz w:val="32"/>
          <w:szCs w:val="32"/>
        </w:rPr>
        <w:t>；经营支出</w:t>
      </w:r>
      <w:r>
        <w:rPr>
          <w:rFonts w:ascii="方正仿宋_GBK" w:eastAsia="方正仿宋_GBK"/>
          <w:sz w:val="32"/>
          <w:szCs w:val="32"/>
        </w:rPr>
        <w:t>0.0</w:t>
      </w:r>
      <w:r>
        <w:rPr>
          <w:rFonts w:ascii="方正仿宋_GBK" w:eastAsia="方正仿宋_GBK"/>
          <w:sz w:val="32"/>
          <w:szCs w:val="32"/>
        </w:rPr>
        <w:t>万元，占</w:t>
      </w:r>
      <w:r>
        <w:rPr>
          <w:rFonts w:ascii="方正仿宋_GBK" w:eastAsia="方正仿宋_GBK"/>
          <w:sz w:val="32"/>
          <w:szCs w:val="32"/>
        </w:rPr>
        <w:t>0.0%</w:t>
      </w:r>
      <w:r>
        <w:rPr>
          <w:rFonts w:ascii="方正仿宋_GBK" w:eastAsia="方正仿宋_GBK"/>
          <w:sz w:val="32"/>
          <w:szCs w:val="32"/>
        </w:rPr>
        <w:t>。此外，结余分配</w:t>
      </w:r>
      <w:r>
        <w:rPr>
          <w:rFonts w:ascii="方正仿宋_GBK" w:eastAsia="方正仿宋_GBK"/>
          <w:sz w:val="32"/>
          <w:szCs w:val="32"/>
        </w:rPr>
        <w:t>0.0</w:t>
      </w:r>
      <w:r>
        <w:rPr>
          <w:rFonts w:ascii="方正仿宋_GBK" w:eastAsia="方正仿宋_GBK"/>
          <w:sz w:val="32"/>
          <w:szCs w:val="32"/>
        </w:rPr>
        <w:t>万元。</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4.</w:t>
      </w:r>
      <w:r>
        <w:rPr>
          <w:rFonts w:ascii="方正仿宋_GBK" w:eastAsia="方正仿宋_GBK"/>
          <w:b/>
          <w:sz w:val="32"/>
          <w:szCs w:val="32"/>
        </w:rPr>
        <w:t>结转结余情况。</w:t>
      </w:r>
      <w:r>
        <w:rPr>
          <w:rFonts w:ascii="方正仿宋_GBK" w:eastAsia="方正仿宋_GBK"/>
          <w:sz w:val="32"/>
          <w:szCs w:val="32"/>
        </w:rPr>
        <w:t>2024</w:t>
      </w:r>
      <w:r>
        <w:rPr>
          <w:rFonts w:ascii="方正仿宋_GBK" w:eastAsia="方正仿宋_GBK"/>
          <w:sz w:val="32"/>
          <w:szCs w:val="32"/>
        </w:rPr>
        <w:t>年度年末结转和结余</w:t>
      </w:r>
      <w:r>
        <w:rPr>
          <w:rFonts w:ascii="方正仿宋_GBK" w:eastAsia="方正仿宋_GBK"/>
          <w:sz w:val="32"/>
          <w:szCs w:val="32"/>
        </w:rPr>
        <w:t>0.0</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年度相比，无增减，主要原因是本单位无结转结余资金。</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（二）财政拨款收入支出决算总体情况说明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年度财政拨款收、支总计</w:t>
      </w:r>
      <w:r>
        <w:rPr>
          <w:rFonts w:ascii="方正仿宋_GBK" w:eastAsia="方正仿宋_GBK"/>
          <w:sz w:val="32"/>
          <w:szCs w:val="32"/>
        </w:rPr>
        <w:t>1429.2</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年相比，财政拨款收、支总计各减少</w:t>
      </w:r>
      <w:r>
        <w:rPr>
          <w:rFonts w:ascii="方正仿宋_GBK" w:eastAsia="方正仿宋_GBK"/>
          <w:sz w:val="32"/>
          <w:szCs w:val="32"/>
        </w:rPr>
        <w:t>230.43</w:t>
      </w:r>
      <w:r>
        <w:rPr>
          <w:rFonts w:ascii="方正仿宋_GBK" w:eastAsia="方正仿宋_GBK"/>
          <w:sz w:val="32"/>
          <w:szCs w:val="32"/>
        </w:rPr>
        <w:t>万元，下降</w:t>
      </w:r>
      <w:r>
        <w:rPr>
          <w:rFonts w:ascii="方正仿宋_GBK" w:eastAsia="方正仿宋_GBK"/>
          <w:sz w:val="32"/>
          <w:szCs w:val="32"/>
        </w:rPr>
        <w:t>13.9%</w:t>
      </w:r>
      <w:r>
        <w:rPr>
          <w:rFonts w:ascii="方正仿宋_GBK" w:eastAsia="方正仿宋_GBK"/>
          <w:sz w:val="32"/>
          <w:szCs w:val="32"/>
        </w:rPr>
        <w:t>。主要原因是下达项目资金减少：</w:t>
      </w:r>
      <w:r>
        <w:rPr>
          <w:rFonts w:ascii="方正仿宋_GBK" w:eastAsia="方正仿宋_GBK"/>
          <w:sz w:val="32"/>
          <w:szCs w:val="32"/>
        </w:rPr>
        <w:t>2023</w:t>
      </w:r>
      <w:r>
        <w:rPr>
          <w:rFonts w:ascii="方正仿宋_GBK" w:eastAsia="方正仿宋_GBK"/>
          <w:sz w:val="32"/>
          <w:szCs w:val="32"/>
        </w:rPr>
        <w:t>年农副产品加工基地配套设施项目、交通项目、里河村产业道路硬化项目、</w:t>
      </w:r>
      <w:r>
        <w:rPr>
          <w:rFonts w:ascii="方正仿宋_GBK" w:eastAsia="方正仿宋_GBK"/>
          <w:sz w:val="32"/>
          <w:szCs w:val="32"/>
        </w:rPr>
        <w:t>2023</w:t>
      </w:r>
      <w:r>
        <w:rPr>
          <w:rFonts w:ascii="方正仿宋_GBK" w:eastAsia="方正仿宋_GBK"/>
          <w:sz w:val="32"/>
          <w:szCs w:val="32"/>
        </w:rPr>
        <w:t>年当阳乡秋月梨、海洋甜柿种植项目等。</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（三）一般公共预算财政拨款收入支出决算情况说明</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1.</w:t>
      </w:r>
      <w:r>
        <w:rPr>
          <w:rFonts w:ascii="方正仿宋_GBK" w:eastAsia="方正仿宋_GBK"/>
          <w:b/>
          <w:sz w:val="32"/>
          <w:szCs w:val="32"/>
        </w:rPr>
        <w:t>收入情况。</w:t>
      </w:r>
      <w:r>
        <w:rPr>
          <w:rFonts w:ascii="方正仿宋_GBK" w:eastAsia="方正仿宋_GBK"/>
          <w:sz w:val="32"/>
          <w:szCs w:val="32"/>
        </w:rPr>
        <w:t>2024</w:t>
      </w:r>
      <w:r>
        <w:rPr>
          <w:rFonts w:ascii="方正仿宋_GBK" w:eastAsia="方正仿宋_GBK"/>
          <w:sz w:val="32"/>
          <w:szCs w:val="32"/>
        </w:rPr>
        <w:t>年度一般公共预算财政拨款收入</w:t>
      </w:r>
      <w:r>
        <w:rPr>
          <w:rFonts w:ascii="方正仿宋_GBK" w:eastAsia="方正仿宋_GBK"/>
          <w:sz w:val="32"/>
          <w:szCs w:val="32"/>
        </w:rPr>
        <w:t>1408.5</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年度相比，减少</w:t>
      </w:r>
      <w:r>
        <w:rPr>
          <w:rFonts w:ascii="方正仿宋_GBK" w:eastAsia="方正仿宋_GBK"/>
          <w:sz w:val="32"/>
          <w:szCs w:val="32"/>
        </w:rPr>
        <w:t>239.07</w:t>
      </w:r>
      <w:r>
        <w:rPr>
          <w:rFonts w:ascii="方正仿宋_GBK" w:eastAsia="方正仿宋_GBK"/>
          <w:sz w:val="32"/>
          <w:szCs w:val="32"/>
        </w:rPr>
        <w:t>万元，下降</w:t>
      </w:r>
      <w:r>
        <w:rPr>
          <w:rFonts w:ascii="方正仿宋_GBK" w:eastAsia="方正仿宋_GBK"/>
          <w:sz w:val="32"/>
          <w:szCs w:val="32"/>
        </w:rPr>
        <w:t>14.5%</w:t>
      </w:r>
      <w:r>
        <w:rPr>
          <w:rFonts w:ascii="方正仿宋_GBK" w:eastAsia="方正仿宋_GBK"/>
          <w:sz w:val="32"/>
          <w:szCs w:val="32"/>
        </w:rPr>
        <w:t>。主要原因是下达项目资金减少：</w:t>
      </w:r>
      <w:r>
        <w:rPr>
          <w:rFonts w:ascii="方正仿宋_GBK" w:eastAsia="方正仿宋_GBK"/>
          <w:sz w:val="32"/>
          <w:szCs w:val="32"/>
        </w:rPr>
        <w:t>2023</w:t>
      </w:r>
      <w:r>
        <w:rPr>
          <w:rFonts w:ascii="方正仿宋_GBK" w:eastAsia="方正仿宋_GBK"/>
          <w:sz w:val="32"/>
          <w:szCs w:val="32"/>
        </w:rPr>
        <w:t>年农副产品加工基地配套设施项目</w:t>
      </w:r>
      <w:r>
        <w:rPr>
          <w:rFonts w:ascii="方正仿宋_GBK" w:eastAsia="方正仿宋_GBK"/>
          <w:sz w:val="32"/>
          <w:szCs w:val="32"/>
        </w:rPr>
        <w:t>、交通项目、里河村产业道路硬化项目、</w:t>
      </w:r>
      <w:r>
        <w:rPr>
          <w:rFonts w:ascii="方正仿宋_GBK" w:eastAsia="方正仿宋_GBK"/>
          <w:sz w:val="32"/>
          <w:szCs w:val="32"/>
        </w:rPr>
        <w:t>2023</w:t>
      </w:r>
      <w:r>
        <w:rPr>
          <w:rFonts w:ascii="方正仿宋_GBK" w:eastAsia="方正仿宋_GBK"/>
          <w:sz w:val="32"/>
          <w:szCs w:val="32"/>
        </w:rPr>
        <w:t>年当阳乡秋月梨、海洋甜柿种植项目等。较年初预算数增加</w:t>
      </w:r>
      <w:r>
        <w:rPr>
          <w:rFonts w:ascii="方正仿宋_GBK" w:eastAsia="方正仿宋_GBK"/>
          <w:sz w:val="32"/>
          <w:szCs w:val="32"/>
        </w:rPr>
        <w:t>687.28</w:t>
      </w:r>
      <w:r>
        <w:rPr>
          <w:rFonts w:ascii="方正仿宋_GBK" w:eastAsia="方正仿宋_GBK"/>
          <w:sz w:val="32"/>
          <w:szCs w:val="32"/>
        </w:rPr>
        <w:t>万元，增长</w:t>
      </w:r>
      <w:r>
        <w:rPr>
          <w:rFonts w:ascii="方正仿宋_GBK" w:eastAsia="方正仿宋_GBK"/>
          <w:sz w:val="32"/>
          <w:szCs w:val="32"/>
        </w:rPr>
        <w:t>95.3%</w:t>
      </w:r>
      <w:r>
        <w:rPr>
          <w:rFonts w:ascii="方正仿宋_GBK" w:eastAsia="方正仿宋_GBK"/>
          <w:sz w:val="32"/>
          <w:szCs w:val="32"/>
        </w:rPr>
        <w:t>。主要原因：一是单位人员晋升，</w:t>
      </w:r>
      <w:r>
        <w:rPr>
          <w:rFonts w:ascii="方正仿宋_GBK" w:eastAsia="方正仿宋_GBK"/>
          <w:sz w:val="32"/>
          <w:szCs w:val="32"/>
        </w:rPr>
        <w:lastRenderedPageBreak/>
        <w:t>相应工资、社保和公积金等标准调高；二是追加了项目资金：农村人居环境综合整治项目、红槽村</w:t>
      </w:r>
      <w:r>
        <w:rPr>
          <w:rFonts w:ascii="方正仿宋_GBK" w:eastAsia="方正仿宋_GBK"/>
          <w:sz w:val="32"/>
          <w:szCs w:val="32"/>
        </w:rPr>
        <w:t>4</w:t>
      </w:r>
      <w:r>
        <w:rPr>
          <w:rFonts w:ascii="方正仿宋_GBK" w:eastAsia="方正仿宋_GBK"/>
          <w:sz w:val="32"/>
          <w:szCs w:val="32"/>
        </w:rPr>
        <w:t>社道路硬化、红槽村人饮提升工程、农村“四旁”植树项目、高坪</w:t>
      </w:r>
      <w:r>
        <w:rPr>
          <w:rFonts w:ascii="方正仿宋_GBK" w:eastAsia="方正仿宋_GBK"/>
          <w:sz w:val="32"/>
          <w:szCs w:val="32"/>
        </w:rPr>
        <w:t>7</w:t>
      </w:r>
      <w:r>
        <w:rPr>
          <w:rFonts w:ascii="方正仿宋_GBK" w:eastAsia="方正仿宋_GBK"/>
          <w:sz w:val="32"/>
          <w:szCs w:val="32"/>
        </w:rPr>
        <w:t>社道路硬化项目等。此外，年初财政拨款结转和结余</w:t>
      </w:r>
      <w:r>
        <w:rPr>
          <w:rFonts w:ascii="方正仿宋_GBK" w:eastAsia="方正仿宋_GBK"/>
          <w:sz w:val="32"/>
          <w:szCs w:val="32"/>
        </w:rPr>
        <w:t>0.0</w:t>
      </w:r>
      <w:r>
        <w:rPr>
          <w:rFonts w:ascii="方正仿宋_GBK" w:eastAsia="方正仿宋_GBK"/>
          <w:sz w:val="32"/>
          <w:szCs w:val="32"/>
        </w:rPr>
        <w:t>万元。</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2.</w:t>
      </w:r>
      <w:r>
        <w:rPr>
          <w:rFonts w:ascii="方正仿宋_GBK" w:eastAsia="方正仿宋_GBK"/>
          <w:b/>
          <w:sz w:val="32"/>
          <w:szCs w:val="32"/>
        </w:rPr>
        <w:t>支出情况。</w:t>
      </w:r>
      <w:r>
        <w:rPr>
          <w:rFonts w:ascii="方正仿宋_GBK" w:eastAsia="方正仿宋_GBK"/>
          <w:sz w:val="32"/>
          <w:szCs w:val="32"/>
        </w:rPr>
        <w:t>2024</w:t>
      </w:r>
      <w:r>
        <w:rPr>
          <w:rFonts w:ascii="方正仿宋_GBK" w:eastAsia="方正仿宋_GBK"/>
          <w:sz w:val="32"/>
          <w:szCs w:val="32"/>
        </w:rPr>
        <w:t>年度一般公共预算财政拨款支出</w:t>
      </w:r>
      <w:r>
        <w:rPr>
          <w:rFonts w:ascii="方正仿宋_GBK" w:eastAsia="方正仿宋_GBK"/>
          <w:sz w:val="32"/>
          <w:szCs w:val="32"/>
        </w:rPr>
        <w:t>1408.5</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年度相比，减少</w:t>
      </w:r>
      <w:r>
        <w:rPr>
          <w:rFonts w:ascii="方正仿宋_GBK" w:eastAsia="方正仿宋_GBK"/>
          <w:sz w:val="32"/>
          <w:szCs w:val="32"/>
        </w:rPr>
        <w:t>240.07</w:t>
      </w:r>
      <w:r>
        <w:rPr>
          <w:rFonts w:ascii="方正仿宋_GBK" w:eastAsia="方正仿宋_GBK"/>
          <w:sz w:val="32"/>
          <w:szCs w:val="32"/>
        </w:rPr>
        <w:t>万元，下降</w:t>
      </w:r>
      <w:r>
        <w:rPr>
          <w:rFonts w:ascii="方正仿宋_GBK" w:eastAsia="方正仿宋_GBK"/>
          <w:sz w:val="32"/>
          <w:szCs w:val="32"/>
        </w:rPr>
        <w:t>14.6%</w:t>
      </w:r>
      <w:r>
        <w:rPr>
          <w:rFonts w:ascii="方正仿宋_GBK" w:eastAsia="方正仿宋_GBK"/>
          <w:sz w:val="32"/>
          <w:szCs w:val="32"/>
        </w:rPr>
        <w:t>。主要原因是下达项目资</w:t>
      </w:r>
      <w:r>
        <w:rPr>
          <w:rFonts w:ascii="方正仿宋_GBK" w:eastAsia="方正仿宋_GBK"/>
          <w:sz w:val="32"/>
          <w:szCs w:val="32"/>
        </w:rPr>
        <w:t>金减少：</w:t>
      </w:r>
      <w:r>
        <w:rPr>
          <w:rFonts w:ascii="方正仿宋_GBK" w:eastAsia="方正仿宋_GBK"/>
          <w:sz w:val="32"/>
          <w:szCs w:val="32"/>
        </w:rPr>
        <w:t>2023</w:t>
      </w:r>
      <w:r>
        <w:rPr>
          <w:rFonts w:ascii="方正仿宋_GBK" w:eastAsia="方正仿宋_GBK"/>
          <w:sz w:val="32"/>
          <w:szCs w:val="32"/>
        </w:rPr>
        <w:t>年农副产品加工基地配套设施项目、交通项目、里河村产业道路硬化项目、</w:t>
      </w:r>
      <w:r>
        <w:rPr>
          <w:rFonts w:ascii="方正仿宋_GBK" w:eastAsia="方正仿宋_GBK"/>
          <w:sz w:val="32"/>
          <w:szCs w:val="32"/>
        </w:rPr>
        <w:t>2023</w:t>
      </w:r>
      <w:r>
        <w:rPr>
          <w:rFonts w:ascii="方正仿宋_GBK" w:eastAsia="方正仿宋_GBK"/>
          <w:sz w:val="32"/>
          <w:szCs w:val="32"/>
        </w:rPr>
        <w:t>年当阳乡秋月梨、海洋甜柿种植项目等。较年初预算数增加</w:t>
      </w:r>
      <w:r>
        <w:rPr>
          <w:rFonts w:ascii="方正仿宋_GBK" w:eastAsia="方正仿宋_GBK"/>
          <w:sz w:val="32"/>
          <w:szCs w:val="32"/>
        </w:rPr>
        <w:t>687.28</w:t>
      </w:r>
      <w:r>
        <w:rPr>
          <w:rFonts w:ascii="方正仿宋_GBK" w:eastAsia="方正仿宋_GBK"/>
          <w:sz w:val="32"/>
          <w:szCs w:val="32"/>
        </w:rPr>
        <w:t>万元，增长</w:t>
      </w:r>
      <w:r>
        <w:rPr>
          <w:rFonts w:ascii="方正仿宋_GBK" w:eastAsia="方正仿宋_GBK"/>
          <w:sz w:val="32"/>
          <w:szCs w:val="32"/>
        </w:rPr>
        <w:t>95.3%</w:t>
      </w:r>
      <w:r>
        <w:rPr>
          <w:rFonts w:ascii="方正仿宋_GBK" w:eastAsia="方正仿宋_GBK"/>
          <w:sz w:val="32"/>
          <w:szCs w:val="32"/>
        </w:rPr>
        <w:t>。主要原因：一是单位人员晋升，相应工资、社保和公积金等标准调高；二是追加了项目资金：农村人居环境综合整治项目、红槽村</w:t>
      </w:r>
      <w:r>
        <w:rPr>
          <w:rFonts w:ascii="方正仿宋_GBK" w:eastAsia="方正仿宋_GBK"/>
          <w:sz w:val="32"/>
          <w:szCs w:val="32"/>
        </w:rPr>
        <w:t>4</w:t>
      </w:r>
      <w:r>
        <w:rPr>
          <w:rFonts w:ascii="方正仿宋_GBK" w:eastAsia="方正仿宋_GBK"/>
          <w:sz w:val="32"/>
          <w:szCs w:val="32"/>
        </w:rPr>
        <w:t>社道路硬化、红槽村人饮提升工程、农村“四旁”植树项目、高坪</w:t>
      </w:r>
      <w:r>
        <w:rPr>
          <w:rFonts w:ascii="方正仿宋_GBK" w:eastAsia="方正仿宋_GBK"/>
          <w:sz w:val="32"/>
          <w:szCs w:val="32"/>
        </w:rPr>
        <w:t>7</w:t>
      </w:r>
      <w:r>
        <w:rPr>
          <w:rFonts w:ascii="方正仿宋_GBK" w:eastAsia="方正仿宋_GBK"/>
          <w:sz w:val="32"/>
          <w:szCs w:val="32"/>
        </w:rPr>
        <w:t>社道路硬化项目等。</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3.</w:t>
      </w:r>
      <w:r>
        <w:rPr>
          <w:rFonts w:ascii="方正仿宋_GBK" w:eastAsia="方正仿宋_GBK"/>
          <w:b/>
          <w:sz w:val="32"/>
          <w:szCs w:val="32"/>
        </w:rPr>
        <w:t>结转结余情况。</w:t>
      </w:r>
      <w:r>
        <w:rPr>
          <w:rFonts w:ascii="方正仿宋_GBK" w:eastAsia="方正仿宋_GBK"/>
          <w:sz w:val="32"/>
          <w:szCs w:val="32"/>
        </w:rPr>
        <w:t>2024</w:t>
      </w:r>
      <w:r>
        <w:rPr>
          <w:rFonts w:ascii="方正仿宋_GBK" w:eastAsia="方正仿宋_GBK"/>
          <w:sz w:val="32"/>
          <w:szCs w:val="32"/>
        </w:rPr>
        <w:t>年度年末一般公共预算财政拨款结转和结余</w:t>
      </w:r>
      <w:r>
        <w:rPr>
          <w:rFonts w:ascii="方正仿宋_GBK" w:eastAsia="方正仿宋_GBK"/>
          <w:sz w:val="32"/>
          <w:szCs w:val="32"/>
        </w:rPr>
        <w:t>0.0</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年度相比，无增减，主要原因是本单位无结转结余资金。</w:t>
      </w:r>
    </w:p>
    <w:p w:rsidR="005E562C" w:rsidRDefault="000942AC">
      <w:pPr>
        <w:spacing w:line="594" w:lineRule="exact"/>
        <w:ind w:firstLineChars="200" w:firstLine="643"/>
        <w:rPr>
          <w:rFonts w:ascii="方正仿宋_GBK" w:eastAsia="方正仿宋_GBK" w:hint="default"/>
          <w:sz w:val="32"/>
          <w:szCs w:val="32"/>
        </w:rPr>
      </w:pPr>
      <w:r>
        <w:rPr>
          <w:rFonts w:ascii="方正仿宋_GBK" w:eastAsia="方正仿宋_GBK"/>
          <w:b/>
          <w:sz w:val="32"/>
          <w:szCs w:val="32"/>
        </w:rPr>
        <w:t xml:space="preserve"> 4.</w:t>
      </w:r>
      <w:r>
        <w:rPr>
          <w:rFonts w:ascii="方正仿宋_GBK" w:eastAsia="方正仿宋_GBK"/>
          <w:b/>
          <w:sz w:val="32"/>
          <w:szCs w:val="32"/>
        </w:rPr>
        <w:t>比较情况。</w:t>
      </w:r>
      <w:r>
        <w:rPr>
          <w:rFonts w:ascii="方正仿宋_GBK" w:eastAsia="方正仿宋_GBK"/>
          <w:sz w:val="32"/>
          <w:szCs w:val="32"/>
        </w:rPr>
        <w:t>本单位</w:t>
      </w:r>
      <w:r>
        <w:rPr>
          <w:rFonts w:ascii="方正仿宋_GBK" w:eastAsia="方正仿宋_GBK"/>
          <w:sz w:val="32"/>
          <w:szCs w:val="32"/>
        </w:rPr>
        <w:t>2024</w:t>
      </w:r>
      <w:r>
        <w:rPr>
          <w:rFonts w:ascii="方正仿宋_GBK" w:eastAsia="方正仿宋_GBK"/>
          <w:sz w:val="32"/>
          <w:szCs w:val="32"/>
        </w:rPr>
        <w:t>年度一般公共预算财政拨款支出主要用于以下几个方面：</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1</w:t>
      </w:r>
      <w:r>
        <w:rPr>
          <w:rFonts w:ascii="方正仿宋_GBK" w:eastAsia="方正仿宋_GBK"/>
          <w:sz w:val="32"/>
          <w:szCs w:val="32"/>
        </w:rPr>
        <w:t>）一般公共服务支出</w:t>
      </w:r>
      <w:r>
        <w:rPr>
          <w:rFonts w:ascii="方正仿宋_GBK" w:eastAsia="方正仿宋_GBK"/>
          <w:sz w:val="32"/>
          <w:szCs w:val="32"/>
        </w:rPr>
        <w:t>411.6</w:t>
      </w:r>
      <w:r>
        <w:rPr>
          <w:rFonts w:ascii="方正仿宋_GBK" w:eastAsia="方正仿宋_GBK"/>
          <w:sz w:val="32"/>
          <w:szCs w:val="32"/>
        </w:rPr>
        <w:t>万元，占</w:t>
      </w:r>
      <w:r>
        <w:rPr>
          <w:rFonts w:ascii="方正仿宋_GBK" w:eastAsia="方正仿宋_GBK"/>
          <w:sz w:val="32"/>
          <w:szCs w:val="32"/>
        </w:rPr>
        <w:t>29.2%</w:t>
      </w:r>
      <w:r>
        <w:rPr>
          <w:rFonts w:ascii="方正仿宋_GBK" w:eastAsia="方正仿宋_GBK"/>
          <w:sz w:val="32"/>
          <w:szCs w:val="32"/>
        </w:rPr>
        <w:t>，较年初预算数增加</w:t>
      </w:r>
      <w:r>
        <w:rPr>
          <w:rFonts w:ascii="方正仿宋_GBK" w:eastAsia="方正仿宋_GBK"/>
          <w:sz w:val="32"/>
          <w:szCs w:val="32"/>
        </w:rPr>
        <w:t>33.63</w:t>
      </w:r>
      <w:r>
        <w:rPr>
          <w:rFonts w:ascii="方正仿宋_GBK" w:eastAsia="方正仿宋_GBK"/>
          <w:sz w:val="32"/>
          <w:szCs w:val="32"/>
        </w:rPr>
        <w:t>万元，增长</w:t>
      </w:r>
      <w:r>
        <w:rPr>
          <w:rFonts w:ascii="方正仿宋_GBK" w:eastAsia="方正仿宋_GBK"/>
          <w:sz w:val="32"/>
          <w:szCs w:val="32"/>
        </w:rPr>
        <w:t>8.9%</w:t>
      </w:r>
      <w:r>
        <w:rPr>
          <w:rFonts w:ascii="方正仿宋_GBK" w:eastAsia="方正仿宋_GBK"/>
          <w:sz w:val="32"/>
          <w:szCs w:val="32"/>
        </w:rPr>
        <w:t>，主要原因是追加了项目资金：农村交通安全劝导员补助、老党员生活定补、征管经费等。</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lastRenderedPageBreak/>
        <w:t>（</w:t>
      </w:r>
      <w:r>
        <w:rPr>
          <w:rFonts w:ascii="方正仿宋_GBK" w:eastAsia="方正仿宋_GBK"/>
          <w:sz w:val="32"/>
          <w:szCs w:val="32"/>
        </w:rPr>
        <w:t>2</w:t>
      </w:r>
      <w:r>
        <w:rPr>
          <w:rFonts w:ascii="方正仿宋_GBK" w:eastAsia="方正仿宋_GBK"/>
          <w:sz w:val="32"/>
          <w:szCs w:val="32"/>
        </w:rPr>
        <w:t>）文化旅游体育与传媒支出</w:t>
      </w:r>
      <w:r>
        <w:rPr>
          <w:rFonts w:ascii="方正仿宋_GBK" w:eastAsia="方正仿宋_GBK"/>
          <w:sz w:val="32"/>
          <w:szCs w:val="32"/>
        </w:rPr>
        <w:t>4.9</w:t>
      </w:r>
      <w:r>
        <w:rPr>
          <w:rFonts w:ascii="方正仿宋_GBK" w:eastAsia="方正仿宋_GBK"/>
          <w:sz w:val="32"/>
          <w:szCs w:val="32"/>
        </w:rPr>
        <w:t>万元，占</w:t>
      </w:r>
      <w:r>
        <w:rPr>
          <w:rFonts w:ascii="方正仿宋_GBK" w:eastAsia="方正仿宋_GBK"/>
          <w:sz w:val="32"/>
          <w:szCs w:val="32"/>
        </w:rPr>
        <w:t>0.4%</w:t>
      </w:r>
      <w:r>
        <w:rPr>
          <w:rFonts w:ascii="方正仿宋_GBK" w:eastAsia="方正仿宋_GBK"/>
          <w:sz w:val="32"/>
          <w:szCs w:val="32"/>
        </w:rPr>
        <w:t>，较年初预算数增加</w:t>
      </w:r>
      <w:r>
        <w:rPr>
          <w:rFonts w:ascii="方正仿宋_GBK" w:eastAsia="方正仿宋_GBK"/>
          <w:sz w:val="32"/>
          <w:szCs w:val="32"/>
        </w:rPr>
        <w:t>4.84</w:t>
      </w:r>
      <w:r>
        <w:rPr>
          <w:rFonts w:ascii="方正仿宋_GBK" w:eastAsia="方正仿宋_GBK"/>
          <w:sz w:val="32"/>
          <w:szCs w:val="32"/>
        </w:rPr>
        <w:t>万元，增长</w:t>
      </w:r>
      <w:r>
        <w:rPr>
          <w:rFonts w:ascii="方正仿宋_GBK" w:eastAsia="方正仿宋_GBK"/>
          <w:sz w:val="32"/>
          <w:szCs w:val="32"/>
        </w:rPr>
        <w:t>6914.3%</w:t>
      </w:r>
      <w:r>
        <w:rPr>
          <w:rFonts w:ascii="方正仿宋_GBK" w:eastAsia="方正仿宋_GBK"/>
          <w:sz w:val="32"/>
          <w:szCs w:val="32"/>
        </w:rPr>
        <w:t>，主要原因是追加文化站免费开放补助资金。</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3</w:t>
      </w:r>
      <w:r>
        <w:rPr>
          <w:rFonts w:ascii="方正仿宋_GBK" w:eastAsia="方正仿宋_GBK"/>
          <w:sz w:val="32"/>
          <w:szCs w:val="32"/>
        </w:rPr>
        <w:t>）社会保障与就业支出</w:t>
      </w:r>
      <w:r>
        <w:rPr>
          <w:rFonts w:ascii="方正仿宋_GBK" w:eastAsia="方正仿宋_GBK"/>
          <w:sz w:val="32"/>
          <w:szCs w:val="32"/>
        </w:rPr>
        <w:t>96.0</w:t>
      </w:r>
      <w:r>
        <w:rPr>
          <w:rFonts w:ascii="方正仿宋_GBK" w:eastAsia="方正仿宋_GBK"/>
          <w:sz w:val="32"/>
          <w:szCs w:val="32"/>
        </w:rPr>
        <w:t>万元，占</w:t>
      </w:r>
      <w:r>
        <w:rPr>
          <w:rFonts w:ascii="方正仿宋_GBK" w:eastAsia="方正仿宋_GBK"/>
          <w:sz w:val="32"/>
          <w:szCs w:val="32"/>
        </w:rPr>
        <w:t>6.8%</w:t>
      </w:r>
      <w:r>
        <w:rPr>
          <w:rFonts w:ascii="方正仿宋_GBK" w:eastAsia="方正仿宋_GBK"/>
          <w:sz w:val="32"/>
          <w:szCs w:val="32"/>
        </w:rPr>
        <w:t>，较年初预算数增加</w:t>
      </w:r>
      <w:r>
        <w:rPr>
          <w:rFonts w:ascii="方正仿宋_GBK" w:eastAsia="方正仿宋_GBK"/>
          <w:sz w:val="32"/>
          <w:szCs w:val="32"/>
        </w:rPr>
        <w:t>28.19</w:t>
      </w:r>
      <w:r>
        <w:rPr>
          <w:rFonts w:ascii="方正仿宋_GBK" w:eastAsia="方正仿宋_GBK"/>
          <w:sz w:val="32"/>
          <w:szCs w:val="32"/>
        </w:rPr>
        <w:t>万元，增长</w:t>
      </w:r>
      <w:r>
        <w:rPr>
          <w:rFonts w:ascii="方正仿宋_GBK" w:eastAsia="方正仿宋_GBK"/>
          <w:sz w:val="32"/>
          <w:szCs w:val="32"/>
        </w:rPr>
        <w:t>41.6%</w:t>
      </w:r>
      <w:r>
        <w:rPr>
          <w:rFonts w:ascii="方正仿宋_GBK" w:eastAsia="方正仿宋_GBK"/>
          <w:sz w:val="32"/>
          <w:szCs w:val="32"/>
        </w:rPr>
        <w:t>，主要原因是追</w:t>
      </w:r>
      <w:r>
        <w:rPr>
          <w:rFonts w:ascii="方正仿宋_GBK" w:eastAsia="方正仿宋_GBK"/>
          <w:sz w:val="32"/>
          <w:szCs w:val="32"/>
        </w:rPr>
        <w:t>加了项目资金：特困安葬费、乡镇敬老院管理运行、严重精神障碍患者监护人以奖代补、残疾人专职委员工作补贴等。</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4</w:t>
      </w:r>
      <w:r>
        <w:rPr>
          <w:rFonts w:ascii="方正仿宋_GBK" w:eastAsia="方正仿宋_GBK"/>
          <w:sz w:val="32"/>
          <w:szCs w:val="32"/>
        </w:rPr>
        <w:t>）卫生健康支出</w:t>
      </w:r>
      <w:r>
        <w:rPr>
          <w:rFonts w:ascii="方正仿宋_GBK" w:eastAsia="方正仿宋_GBK"/>
          <w:sz w:val="32"/>
          <w:szCs w:val="32"/>
        </w:rPr>
        <w:t>34.1</w:t>
      </w:r>
      <w:r>
        <w:rPr>
          <w:rFonts w:ascii="方正仿宋_GBK" w:eastAsia="方正仿宋_GBK"/>
          <w:sz w:val="32"/>
          <w:szCs w:val="32"/>
        </w:rPr>
        <w:t>万元，占</w:t>
      </w:r>
      <w:r>
        <w:rPr>
          <w:rFonts w:ascii="方正仿宋_GBK" w:eastAsia="方正仿宋_GBK"/>
          <w:sz w:val="32"/>
          <w:szCs w:val="32"/>
        </w:rPr>
        <w:t>2.4%</w:t>
      </w:r>
      <w:r>
        <w:rPr>
          <w:rFonts w:ascii="方正仿宋_GBK" w:eastAsia="方正仿宋_GBK"/>
          <w:sz w:val="32"/>
          <w:szCs w:val="32"/>
        </w:rPr>
        <w:t>，较年初预算数增加</w:t>
      </w:r>
      <w:r>
        <w:rPr>
          <w:rFonts w:ascii="方正仿宋_GBK" w:eastAsia="方正仿宋_GBK"/>
          <w:sz w:val="32"/>
          <w:szCs w:val="32"/>
        </w:rPr>
        <w:t>6.17</w:t>
      </w:r>
      <w:r>
        <w:rPr>
          <w:rFonts w:ascii="方正仿宋_GBK" w:eastAsia="方正仿宋_GBK"/>
          <w:sz w:val="32"/>
          <w:szCs w:val="32"/>
        </w:rPr>
        <w:t>万元，增长</w:t>
      </w:r>
      <w:r>
        <w:rPr>
          <w:rFonts w:ascii="方正仿宋_GBK" w:eastAsia="方正仿宋_GBK"/>
          <w:sz w:val="32"/>
          <w:szCs w:val="32"/>
        </w:rPr>
        <w:t>22.1%</w:t>
      </w:r>
      <w:r>
        <w:rPr>
          <w:rFonts w:ascii="方正仿宋_GBK" w:eastAsia="方正仿宋_GBK"/>
          <w:sz w:val="32"/>
          <w:szCs w:val="32"/>
        </w:rPr>
        <w:t>，主要原因是单位人员晋升，相应社保标准提高。</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5</w:t>
      </w:r>
      <w:r>
        <w:rPr>
          <w:rFonts w:ascii="方正仿宋_GBK" w:eastAsia="方正仿宋_GBK"/>
          <w:sz w:val="32"/>
          <w:szCs w:val="32"/>
        </w:rPr>
        <w:t>）节能环保支出</w:t>
      </w:r>
      <w:r>
        <w:rPr>
          <w:rFonts w:ascii="方正仿宋_GBK" w:eastAsia="方正仿宋_GBK"/>
          <w:sz w:val="32"/>
          <w:szCs w:val="32"/>
        </w:rPr>
        <w:t>34.8</w:t>
      </w:r>
      <w:r>
        <w:rPr>
          <w:rFonts w:ascii="方正仿宋_GBK" w:eastAsia="方正仿宋_GBK"/>
          <w:sz w:val="32"/>
          <w:szCs w:val="32"/>
        </w:rPr>
        <w:t>万元，占</w:t>
      </w:r>
      <w:r>
        <w:rPr>
          <w:rFonts w:ascii="方正仿宋_GBK" w:eastAsia="方正仿宋_GBK"/>
          <w:sz w:val="32"/>
          <w:szCs w:val="32"/>
        </w:rPr>
        <w:t>2.5%</w:t>
      </w:r>
      <w:r>
        <w:rPr>
          <w:rFonts w:ascii="方正仿宋_GBK" w:eastAsia="方正仿宋_GBK"/>
          <w:sz w:val="32"/>
          <w:szCs w:val="32"/>
        </w:rPr>
        <w:t>，较年初预算数增加</w:t>
      </w:r>
      <w:r>
        <w:rPr>
          <w:rFonts w:ascii="方正仿宋_GBK" w:eastAsia="方正仿宋_GBK"/>
          <w:sz w:val="32"/>
          <w:szCs w:val="32"/>
        </w:rPr>
        <w:t>28.29</w:t>
      </w:r>
      <w:r>
        <w:rPr>
          <w:rFonts w:ascii="方正仿宋_GBK" w:eastAsia="方正仿宋_GBK"/>
          <w:sz w:val="32"/>
          <w:szCs w:val="32"/>
        </w:rPr>
        <w:t>万元，增长</w:t>
      </w:r>
      <w:r>
        <w:rPr>
          <w:rFonts w:ascii="方正仿宋_GBK" w:eastAsia="方正仿宋_GBK"/>
          <w:sz w:val="32"/>
          <w:szCs w:val="32"/>
        </w:rPr>
        <w:t>431.9%</w:t>
      </w:r>
      <w:r>
        <w:rPr>
          <w:rFonts w:ascii="方正仿宋_GBK" w:eastAsia="方正仿宋_GBK"/>
          <w:sz w:val="32"/>
          <w:szCs w:val="32"/>
        </w:rPr>
        <w:t>，主要原因是追加了生态护林员补助。</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6</w:t>
      </w:r>
      <w:r>
        <w:rPr>
          <w:rFonts w:ascii="方正仿宋_GBK" w:eastAsia="方正仿宋_GBK"/>
          <w:sz w:val="32"/>
          <w:szCs w:val="32"/>
        </w:rPr>
        <w:t>）农林水支出</w:t>
      </w:r>
      <w:r>
        <w:rPr>
          <w:rFonts w:ascii="方正仿宋_GBK" w:eastAsia="方正仿宋_GBK"/>
          <w:sz w:val="32"/>
          <w:szCs w:val="32"/>
        </w:rPr>
        <w:t>739.3</w:t>
      </w:r>
      <w:r>
        <w:rPr>
          <w:rFonts w:ascii="方正仿宋_GBK" w:eastAsia="方正仿宋_GBK"/>
          <w:sz w:val="32"/>
          <w:szCs w:val="32"/>
        </w:rPr>
        <w:t>万元，占</w:t>
      </w:r>
      <w:r>
        <w:rPr>
          <w:rFonts w:ascii="方正仿宋_GBK" w:eastAsia="方正仿宋_GBK"/>
          <w:sz w:val="32"/>
          <w:szCs w:val="32"/>
        </w:rPr>
        <w:t>52.5%</w:t>
      </w:r>
      <w:r>
        <w:rPr>
          <w:rFonts w:ascii="方正仿宋_GBK" w:eastAsia="方正仿宋_GBK"/>
          <w:sz w:val="32"/>
          <w:szCs w:val="32"/>
        </w:rPr>
        <w:t>，较年初预算数增加</w:t>
      </w:r>
      <w:r>
        <w:rPr>
          <w:rFonts w:ascii="方正仿宋_GBK" w:eastAsia="方正仿宋_GBK"/>
          <w:sz w:val="32"/>
          <w:szCs w:val="32"/>
        </w:rPr>
        <w:t>548.35</w:t>
      </w:r>
      <w:r>
        <w:rPr>
          <w:rFonts w:ascii="方正仿宋_GBK" w:eastAsia="方正仿宋_GBK"/>
          <w:sz w:val="32"/>
          <w:szCs w:val="32"/>
        </w:rPr>
        <w:t>万元，增长</w:t>
      </w:r>
      <w:r>
        <w:rPr>
          <w:rFonts w:ascii="方正仿宋_GBK" w:eastAsia="方正仿宋_GBK"/>
          <w:sz w:val="32"/>
          <w:szCs w:val="32"/>
        </w:rPr>
        <w:t>287.1%</w:t>
      </w:r>
      <w:r>
        <w:rPr>
          <w:rFonts w:ascii="方正仿宋_GBK" w:eastAsia="方正仿宋_GBK"/>
          <w:sz w:val="32"/>
          <w:szCs w:val="32"/>
        </w:rPr>
        <w:t>，主要原因：一是追加烤烟生产补助和维修等资金；二</w:t>
      </w:r>
      <w:r>
        <w:rPr>
          <w:rFonts w:ascii="方正仿宋_GBK" w:eastAsia="方正仿宋_GBK"/>
          <w:sz w:val="32"/>
          <w:szCs w:val="32"/>
        </w:rPr>
        <w:t>是追加了动物防疫相关资金；三是追加了项目资金：高坪</w:t>
      </w:r>
      <w:r>
        <w:rPr>
          <w:rFonts w:ascii="方正仿宋_GBK" w:eastAsia="方正仿宋_GBK"/>
          <w:sz w:val="32"/>
          <w:szCs w:val="32"/>
        </w:rPr>
        <w:t>7</w:t>
      </w:r>
      <w:r>
        <w:rPr>
          <w:rFonts w:ascii="方正仿宋_GBK" w:eastAsia="方正仿宋_GBK"/>
          <w:sz w:val="32"/>
          <w:szCs w:val="32"/>
        </w:rPr>
        <w:t>社道路硬化项目、红槽村</w:t>
      </w:r>
      <w:r>
        <w:rPr>
          <w:rFonts w:ascii="方正仿宋_GBK" w:eastAsia="方正仿宋_GBK"/>
          <w:sz w:val="32"/>
          <w:szCs w:val="32"/>
        </w:rPr>
        <w:t>4</w:t>
      </w:r>
      <w:r>
        <w:rPr>
          <w:rFonts w:ascii="方正仿宋_GBK" w:eastAsia="方正仿宋_GBK"/>
          <w:sz w:val="32"/>
          <w:szCs w:val="32"/>
        </w:rPr>
        <w:t>社道路硬化项目、农村人居环境综合整治项目、烟台（巫山）现代农业产业园建设项目、农村“四旁”植树项目、当阳乡红槽村人饮提升工程等。</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7</w:t>
      </w:r>
      <w:r>
        <w:rPr>
          <w:rFonts w:ascii="方正仿宋_GBK" w:eastAsia="方正仿宋_GBK"/>
          <w:sz w:val="32"/>
          <w:szCs w:val="32"/>
        </w:rPr>
        <w:t>）交通运输支出</w:t>
      </w:r>
      <w:r>
        <w:rPr>
          <w:rFonts w:ascii="方正仿宋_GBK" w:eastAsia="方正仿宋_GBK"/>
          <w:sz w:val="32"/>
          <w:szCs w:val="32"/>
        </w:rPr>
        <w:t>7.9</w:t>
      </w:r>
      <w:r>
        <w:rPr>
          <w:rFonts w:ascii="方正仿宋_GBK" w:eastAsia="方正仿宋_GBK"/>
          <w:sz w:val="32"/>
          <w:szCs w:val="32"/>
        </w:rPr>
        <w:t>万元，占</w:t>
      </w:r>
      <w:r>
        <w:rPr>
          <w:rFonts w:ascii="方正仿宋_GBK" w:eastAsia="方正仿宋_GBK"/>
          <w:sz w:val="32"/>
          <w:szCs w:val="32"/>
        </w:rPr>
        <w:t>0.6%</w:t>
      </w:r>
      <w:r>
        <w:rPr>
          <w:rFonts w:ascii="方正仿宋_GBK" w:eastAsia="方正仿宋_GBK"/>
          <w:sz w:val="32"/>
          <w:szCs w:val="32"/>
        </w:rPr>
        <w:t>，较年初预算数增加</w:t>
      </w:r>
      <w:r>
        <w:rPr>
          <w:rFonts w:ascii="方正仿宋_GBK" w:eastAsia="方正仿宋_GBK"/>
          <w:sz w:val="32"/>
          <w:szCs w:val="32"/>
        </w:rPr>
        <w:t>7.93</w:t>
      </w:r>
      <w:r>
        <w:rPr>
          <w:rFonts w:ascii="方正仿宋_GBK" w:eastAsia="方正仿宋_GBK"/>
          <w:sz w:val="32"/>
          <w:szCs w:val="32"/>
        </w:rPr>
        <w:t>万元，增长</w:t>
      </w:r>
      <w:r>
        <w:rPr>
          <w:rFonts w:ascii="方正仿宋_GBK" w:eastAsia="方正仿宋_GBK"/>
          <w:sz w:val="32"/>
          <w:szCs w:val="32"/>
        </w:rPr>
        <w:t>100.0%</w:t>
      </w:r>
      <w:r>
        <w:rPr>
          <w:rFonts w:ascii="方正仿宋_GBK" w:eastAsia="方正仿宋_GBK"/>
          <w:sz w:val="32"/>
          <w:szCs w:val="32"/>
        </w:rPr>
        <w:t>，主要原因是追加村组道路养护专项资金。</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lastRenderedPageBreak/>
        <w:t>（</w:t>
      </w:r>
      <w:r>
        <w:rPr>
          <w:rFonts w:ascii="方正仿宋_GBK" w:eastAsia="方正仿宋_GBK"/>
          <w:sz w:val="32"/>
          <w:szCs w:val="32"/>
        </w:rPr>
        <w:t>8</w:t>
      </w:r>
      <w:r>
        <w:rPr>
          <w:rFonts w:ascii="方正仿宋_GBK" w:eastAsia="方正仿宋_GBK"/>
          <w:sz w:val="32"/>
          <w:szCs w:val="32"/>
        </w:rPr>
        <w:t>）自然资源海洋气象等支出</w:t>
      </w:r>
      <w:r>
        <w:rPr>
          <w:rFonts w:ascii="方正仿宋_GBK" w:eastAsia="方正仿宋_GBK"/>
          <w:sz w:val="32"/>
          <w:szCs w:val="32"/>
        </w:rPr>
        <w:t>1.5</w:t>
      </w:r>
      <w:r>
        <w:rPr>
          <w:rFonts w:ascii="方正仿宋_GBK" w:eastAsia="方正仿宋_GBK"/>
          <w:sz w:val="32"/>
          <w:szCs w:val="32"/>
        </w:rPr>
        <w:t>万元，占</w:t>
      </w:r>
      <w:r>
        <w:rPr>
          <w:rFonts w:ascii="方正仿宋_GBK" w:eastAsia="方正仿宋_GBK"/>
          <w:sz w:val="32"/>
          <w:szCs w:val="32"/>
        </w:rPr>
        <w:t>0.1%</w:t>
      </w:r>
      <w:r>
        <w:rPr>
          <w:rFonts w:ascii="方正仿宋_GBK" w:eastAsia="方正仿宋_GBK"/>
          <w:sz w:val="32"/>
          <w:szCs w:val="32"/>
        </w:rPr>
        <w:t>，较年初预算数增加</w:t>
      </w:r>
      <w:r>
        <w:rPr>
          <w:rFonts w:ascii="方正仿宋_GBK" w:eastAsia="方正仿宋_GBK"/>
          <w:sz w:val="32"/>
          <w:szCs w:val="32"/>
        </w:rPr>
        <w:t>1.47</w:t>
      </w:r>
      <w:r>
        <w:rPr>
          <w:rFonts w:ascii="方正仿宋_GBK" w:eastAsia="方正仿宋_GBK"/>
          <w:sz w:val="32"/>
          <w:szCs w:val="32"/>
        </w:rPr>
        <w:t>万元，增长</w:t>
      </w:r>
      <w:r>
        <w:rPr>
          <w:rFonts w:ascii="方正仿宋_GBK" w:eastAsia="方正仿宋_GBK"/>
          <w:sz w:val="32"/>
          <w:szCs w:val="32"/>
        </w:rPr>
        <w:t>100.0%</w:t>
      </w:r>
      <w:r>
        <w:rPr>
          <w:rFonts w:ascii="方正仿宋_GBK" w:eastAsia="方正仿宋_GBK"/>
          <w:sz w:val="32"/>
          <w:szCs w:val="32"/>
        </w:rPr>
        <w:t>，主要原因是追加耕地保护工作经费。</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9</w:t>
      </w:r>
      <w:r>
        <w:rPr>
          <w:rFonts w:ascii="方正仿宋_GBK" w:eastAsia="方正仿宋_GBK"/>
          <w:sz w:val="32"/>
          <w:szCs w:val="32"/>
        </w:rPr>
        <w:t>）住房保障支出</w:t>
      </w:r>
      <w:r>
        <w:rPr>
          <w:rFonts w:ascii="方正仿宋_GBK" w:eastAsia="方正仿宋_GBK"/>
          <w:sz w:val="32"/>
          <w:szCs w:val="32"/>
        </w:rPr>
        <w:t>31.5</w:t>
      </w:r>
      <w:r>
        <w:rPr>
          <w:rFonts w:ascii="方正仿宋_GBK" w:eastAsia="方正仿宋_GBK"/>
          <w:sz w:val="32"/>
          <w:szCs w:val="32"/>
        </w:rPr>
        <w:t>万元，占</w:t>
      </w:r>
      <w:r>
        <w:rPr>
          <w:rFonts w:ascii="方正仿宋_GBK" w:eastAsia="方正仿宋_GBK"/>
          <w:sz w:val="32"/>
          <w:szCs w:val="32"/>
        </w:rPr>
        <w:t>2.2%</w:t>
      </w:r>
      <w:r>
        <w:rPr>
          <w:rFonts w:ascii="方正仿宋_GBK" w:eastAsia="方正仿宋_GBK"/>
          <w:sz w:val="32"/>
          <w:szCs w:val="32"/>
        </w:rPr>
        <w:t>，</w:t>
      </w:r>
      <w:r>
        <w:rPr>
          <w:rFonts w:ascii="方正仿宋_GBK" w:eastAsia="方正仿宋_GBK"/>
          <w:sz w:val="32"/>
          <w:szCs w:val="32"/>
        </w:rPr>
        <w:t>较年初预算数增加</w:t>
      </w:r>
      <w:r>
        <w:rPr>
          <w:rFonts w:ascii="方正仿宋_GBK" w:eastAsia="方正仿宋_GBK"/>
          <w:sz w:val="32"/>
          <w:szCs w:val="32"/>
        </w:rPr>
        <w:t>2.77</w:t>
      </w:r>
      <w:r>
        <w:rPr>
          <w:rFonts w:ascii="方正仿宋_GBK" w:eastAsia="方正仿宋_GBK"/>
          <w:sz w:val="32"/>
          <w:szCs w:val="32"/>
        </w:rPr>
        <w:t>万元，增长</w:t>
      </w:r>
      <w:r>
        <w:rPr>
          <w:rFonts w:ascii="方正仿宋_GBK" w:eastAsia="方正仿宋_GBK"/>
          <w:sz w:val="32"/>
          <w:szCs w:val="32"/>
        </w:rPr>
        <w:t>9.6%</w:t>
      </w:r>
      <w:r>
        <w:rPr>
          <w:rFonts w:ascii="方正仿宋_GBK" w:eastAsia="方正仿宋_GBK"/>
          <w:sz w:val="32"/>
          <w:szCs w:val="32"/>
        </w:rPr>
        <w:t>，主要原因是公积金调标，相应人员支出增加。</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w:t>
      </w:r>
      <w:r>
        <w:rPr>
          <w:rFonts w:ascii="方正仿宋_GBK" w:eastAsia="方正仿宋_GBK"/>
          <w:sz w:val="32"/>
          <w:szCs w:val="32"/>
        </w:rPr>
        <w:t>10</w:t>
      </w:r>
      <w:r>
        <w:rPr>
          <w:rFonts w:ascii="方正仿宋_GBK" w:eastAsia="方正仿宋_GBK"/>
          <w:sz w:val="32"/>
          <w:szCs w:val="32"/>
        </w:rPr>
        <w:t>）灾害防治及应急管理支出</w:t>
      </w:r>
      <w:r>
        <w:rPr>
          <w:rFonts w:ascii="方正仿宋_GBK" w:eastAsia="方正仿宋_GBK"/>
          <w:sz w:val="32"/>
          <w:szCs w:val="32"/>
        </w:rPr>
        <w:t>46.74</w:t>
      </w:r>
      <w:r>
        <w:rPr>
          <w:rFonts w:ascii="方正仿宋_GBK" w:eastAsia="方正仿宋_GBK"/>
          <w:sz w:val="32"/>
          <w:szCs w:val="32"/>
        </w:rPr>
        <w:t>万元，占</w:t>
      </w:r>
      <w:r>
        <w:rPr>
          <w:rFonts w:ascii="方正仿宋_GBK" w:eastAsia="方正仿宋_GBK"/>
          <w:sz w:val="32"/>
          <w:szCs w:val="32"/>
        </w:rPr>
        <w:t>3.3%</w:t>
      </w:r>
      <w:r>
        <w:rPr>
          <w:rFonts w:ascii="方正仿宋_GBK" w:eastAsia="方正仿宋_GBK"/>
          <w:sz w:val="32"/>
          <w:szCs w:val="32"/>
        </w:rPr>
        <w:t>，较年初预算数增加</w:t>
      </w:r>
      <w:r>
        <w:rPr>
          <w:rFonts w:ascii="方正仿宋_GBK" w:eastAsia="方正仿宋_GBK"/>
          <w:sz w:val="32"/>
          <w:szCs w:val="32"/>
        </w:rPr>
        <w:t>25.64</w:t>
      </w:r>
      <w:r>
        <w:rPr>
          <w:rFonts w:ascii="方正仿宋_GBK" w:eastAsia="方正仿宋_GBK"/>
          <w:sz w:val="32"/>
          <w:szCs w:val="32"/>
        </w:rPr>
        <w:t>万元，增长</w:t>
      </w:r>
      <w:r>
        <w:rPr>
          <w:rFonts w:ascii="方正仿宋_GBK" w:eastAsia="方正仿宋_GBK"/>
          <w:sz w:val="32"/>
          <w:szCs w:val="32"/>
        </w:rPr>
        <w:t>121.5%</w:t>
      </w:r>
      <w:r>
        <w:rPr>
          <w:rFonts w:ascii="方正仿宋_GBK" w:eastAsia="方正仿宋_GBK"/>
          <w:sz w:val="32"/>
          <w:szCs w:val="32"/>
        </w:rPr>
        <w:t>，主要原因是追加自然灾害救灾资金、冬春生活救助。</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（四）一般公共预算财政拨款基本支出决算情况说明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年度一般公共财政拨款基本支出</w:t>
      </w:r>
      <w:r>
        <w:rPr>
          <w:rFonts w:ascii="方正仿宋_GBK" w:eastAsia="方正仿宋_GBK"/>
          <w:sz w:val="32"/>
          <w:szCs w:val="32"/>
        </w:rPr>
        <w:t>473.7</w:t>
      </w:r>
      <w:r>
        <w:rPr>
          <w:rFonts w:ascii="方正仿宋_GBK" w:eastAsia="方正仿宋_GBK"/>
          <w:sz w:val="32"/>
          <w:szCs w:val="32"/>
        </w:rPr>
        <w:t>万元。其中：人员经费</w:t>
      </w:r>
      <w:r>
        <w:rPr>
          <w:rFonts w:ascii="方正仿宋_GBK" w:eastAsia="方正仿宋_GBK"/>
          <w:sz w:val="32"/>
          <w:szCs w:val="32"/>
        </w:rPr>
        <w:t>411.8</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年度相比，增加</w:t>
      </w:r>
      <w:r>
        <w:rPr>
          <w:rFonts w:ascii="方正仿宋_GBK" w:eastAsia="方正仿宋_GBK"/>
          <w:sz w:val="32"/>
          <w:szCs w:val="32"/>
        </w:rPr>
        <w:t>17.71</w:t>
      </w:r>
      <w:r>
        <w:rPr>
          <w:rFonts w:ascii="方正仿宋_GBK" w:eastAsia="方正仿宋_GBK"/>
          <w:sz w:val="32"/>
          <w:szCs w:val="32"/>
        </w:rPr>
        <w:t>万元，增长</w:t>
      </w:r>
      <w:r>
        <w:rPr>
          <w:rFonts w:ascii="方正仿宋_GBK" w:eastAsia="方正仿宋_GBK"/>
          <w:sz w:val="32"/>
          <w:szCs w:val="32"/>
        </w:rPr>
        <w:t>4.5%</w:t>
      </w:r>
      <w:r>
        <w:rPr>
          <w:rFonts w:ascii="方正仿宋_GBK" w:eastAsia="方正仿宋_GBK"/>
          <w:sz w:val="32"/>
          <w:szCs w:val="32"/>
        </w:rPr>
        <w:t>，主要原因是一是人员晋升，相应人员经费支出增加；公积金调标，相应人员经费支出增加。人员经</w:t>
      </w:r>
      <w:r>
        <w:rPr>
          <w:rFonts w:ascii="方正仿宋_GBK" w:eastAsia="方正仿宋_GBK"/>
          <w:sz w:val="32"/>
          <w:szCs w:val="32"/>
        </w:rPr>
        <w:t>费用途主要包括基本工资、津贴补贴、奖金、社会保障缴费、绩效工资、其他工资福利支出、退休费、抚恤金、住房公积金等。公用经费</w:t>
      </w:r>
      <w:r>
        <w:rPr>
          <w:rFonts w:ascii="方正仿宋_GBK" w:eastAsia="方正仿宋_GBK"/>
          <w:sz w:val="32"/>
          <w:szCs w:val="32"/>
        </w:rPr>
        <w:t>61.9</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年度相比，增加</w:t>
      </w:r>
      <w:r>
        <w:rPr>
          <w:rFonts w:ascii="方正仿宋_GBK" w:eastAsia="方正仿宋_GBK"/>
          <w:sz w:val="32"/>
          <w:szCs w:val="32"/>
        </w:rPr>
        <w:t>4.04</w:t>
      </w:r>
      <w:r>
        <w:rPr>
          <w:rFonts w:ascii="方正仿宋_GBK" w:eastAsia="方正仿宋_GBK"/>
          <w:sz w:val="32"/>
          <w:szCs w:val="32"/>
        </w:rPr>
        <w:t>万元，增长</w:t>
      </w:r>
      <w:r>
        <w:rPr>
          <w:rFonts w:ascii="方正仿宋_GBK" w:eastAsia="方正仿宋_GBK"/>
          <w:sz w:val="32"/>
          <w:szCs w:val="32"/>
        </w:rPr>
        <w:t>7.0%</w:t>
      </w:r>
      <w:r w:rsidR="005C3D18">
        <w:rPr>
          <w:rFonts w:ascii="方正仿宋_GBK" w:eastAsia="方正仿宋_GBK"/>
          <w:sz w:val="32"/>
          <w:szCs w:val="32"/>
        </w:rPr>
        <w:t>，主要原因是</w:t>
      </w:r>
      <w:r>
        <w:rPr>
          <w:rFonts w:ascii="方正仿宋_GBK" w:eastAsia="方正仿宋_GBK"/>
          <w:sz w:val="32"/>
          <w:szCs w:val="32"/>
        </w:rPr>
        <w:t>生态环保督查整改、林业撂荒地复耕复种等工作时间紧、任务重的背景下，相关支出增加。公用经费用途主要包括办公费、咨询费、水费、电费、邮电费、差旅费、会议费、培训费、公务接待费、劳务费、工会经费、福利费、公务车运行维护费等。</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（五）政府性基金预算收支决算情况说明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lastRenderedPageBreak/>
        <w:t>2024</w:t>
      </w:r>
      <w:r>
        <w:rPr>
          <w:rFonts w:ascii="方正仿宋_GBK" w:eastAsia="方正仿宋_GBK"/>
          <w:sz w:val="32"/>
          <w:szCs w:val="32"/>
        </w:rPr>
        <w:t>年度政府性基金预算财政拨款年初结转结余</w:t>
      </w:r>
      <w:r>
        <w:rPr>
          <w:rFonts w:ascii="方正仿宋_GBK" w:eastAsia="方正仿宋_GBK"/>
          <w:sz w:val="32"/>
          <w:szCs w:val="32"/>
        </w:rPr>
        <w:t>0.0</w:t>
      </w:r>
      <w:r>
        <w:rPr>
          <w:rFonts w:ascii="方正仿宋_GBK" w:eastAsia="方正仿宋_GBK"/>
          <w:sz w:val="32"/>
          <w:szCs w:val="32"/>
        </w:rPr>
        <w:t>万</w:t>
      </w:r>
      <w:r>
        <w:rPr>
          <w:rFonts w:ascii="方正仿宋_GBK" w:eastAsia="方正仿宋_GBK"/>
          <w:sz w:val="32"/>
          <w:szCs w:val="32"/>
        </w:rPr>
        <w:t>元，年末结转结余</w:t>
      </w:r>
      <w:r>
        <w:rPr>
          <w:rFonts w:ascii="方正仿宋_GBK" w:eastAsia="方正仿宋_GBK"/>
          <w:sz w:val="32"/>
          <w:szCs w:val="32"/>
        </w:rPr>
        <w:t>0.0</w:t>
      </w:r>
      <w:r>
        <w:rPr>
          <w:rFonts w:ascii="方正仿宋_GBK" w:eastAsia="方正仿宋_GBK"/>
          <w:sz w:val="32"/>
          <w:szCs w:val="32"/>
        </w:rPr>
        <w:t>万元。本年收入</w:t>
      </w:r>
      <w:r>
        <w:rPr>
          <w:rFonts w:ascii="方正仿宋_GBK" w:eastAsia="方正仿宋_GBK"/>
          <w:sz w:val="32"/>
          <w:szCs w:val="32"/>
        </w:rPr>
        <w:t>20.7</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年度相比，增加</w:t>
      </w:r>
      <w:r>
        <w:rPr>
          <w:rFonts w:ascii="方正仿宋_GBK" w:eastAsia="方正仿宋_GBK"/>
          <w:sz w:val="32"/>
          <w:szCs w:val="32"/>
        </w:rPr>
        <w:t>9.63</w:t>
      </w:r>
      <w:r>
        <w:rPr>
          <w:rFonts w:ascii="方正仿宋_GBK" w:eastAsia="方正仿宋_GBK"/>
          <w:sz w:val="32"/>
          <w:szCs w:val="32"/>
        </w:rPr>
        <w:t>万元，增长</w:t>
      </w:r>
      <w:r>
        <w:rPr>
          <w:rFonts w:ascii="方正仿宋_GBK" w:eastAsia="方正仿宋_GBK"/>
          <w:sz w:val="32"/>
          <w:szCs w:val="32"/>
        </w:rPr>
        <w:t>87.2%</w:t>
      </w:r>
      <w:r>
        <w:rPr>
          <w:rFonts w:ascii="方正仿宋_GBK" w:eastAsia="方正仿宋_GBK"/>
          <w:sz w:val="32"/>
          <w:szCs w:val="32"/>
        </w:rPr>
        <w:t>，主要原因是下达项目资金增加：村社道路养护、耕地保护工作经费。本年支出</w:t>
      </w:r>
      <w:r>
        <w:rPr>
          <w:rFonts w:ascii="方正仿宋_GBK" w:eastAsia="方正仿宋_GBK"/>
          <w:sz w:val="32"/>
          <w:szCs w:val="32"/>
        </w:rPr>
        <w:t>20.7</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年度相比，增加</w:t>
      </w:r>
      <w:r>
        <w:rPr>
          <w:rFonts w:ascii="方正仿宋_GBK" w:eastAsia="方正仿宋_GBK"/>
          <w:sz w:val="32"/>
          <w:szCs w:val="32"/>
        </w:rPr>
        <w:t>9.63</w:t>
      </w:r>
      <w:r>
        <w:rPr>
          <w:rFonts w:ascii="方正仿宋_GBK" w:eastAsia="方正仿宋_GBK"/>
          <w:sz w:val="32"/>
          <w:szCs w:val="32"/>
        </w:rPr>
        <w:t>万元，增长</w:t>
      </w:r>
      <w:r>
        <w:rPr>
          <w:rFonts w:ascii="方正仿宋_GBK" w:eastAsia="方正仿宋_GBK"/>
          <w:sz w:val="32"/>
          <w:szCs w:val="32"/>
        </w:rPr>
        <w:t>87.2%</w:t>
      </w:r>
      <w:r>
        <w:rPr>
          <w:rFonts w:ascii="方正仿宋_GBK" w:eastAsia="方正仿宋_GBK"/>
          <w:sz w:val="32"/>
          <w:szCs w:val="32"/>
        </w:rPr>
        <w:t>，主要原因是下达项目资金增加：村社道路养护、耕地保护工作经费。</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（六）国有资本经营预算财政拨款支出决算情况说明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本单位</w:t>
      </w:r>
      <w:r>
        <w:rPr>
          <w:rFonts w:ascii="方正仿宋_GBK" w:eastAsia="方正仿宋_GBK"/>
          <w:sz w:val="32"/>
          <w:szCs w:val="32"/>
        </w:rPr>
        <w:t>2024</w:t>
      </w:r>
      <w:r>
        <w:rPr>
          <w:rFonts w:ascii="方正仿宋_GBK" w:eastAsia="方正仿宋_GBK"/>
          <w:sz w:val="32"/>
          <w:szCs w:val="32"/>
        </w:rPr>
        <w:t>年度无国有资本经营预算财政拨款支出。</w:t>
      </w:r>
    </w:p>
    <w:p w:rsidR="005E562C" w:rsidRDefault="000942AC">
      <w:pPr>
        <w:spacing w:line="594" w:lineRule="exact"/>
        <w:ind w:firstLineChars="200" w:firstLine="640"/>
        <w:rPr>
          <w:rFonts w:ascii="方正黑体_GBK" w:eastAsia="方正黑体_GBK" w:hAnsiTheme="minorHAnsi" w:cstheme="minorBidi" w:hint="default"/>
          <w:kern w:val="2"/>
          <w:sz w:val="32"/>
          <w:szCs w:val="32"/>
        </w:rPr>
      </w:pPr>
      <w:r>
        <w:rPr>
          <w:rFonts w:ascii="方正黑体_GBK" w:eastAsia="方正黑体_GBK" w:hAnsiTheme="minorHAnsi" w:cstheme="minorBidi"/>
          <w:kern w:val="2"/>
          <w:sz w:val="32"/>
          <w:szCs w:val="32"/>
        </w:rPr>
        <w:t>三、财政拨款“三公”经费情况说明</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（一）“三公”经费支出总体情况说明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年度“三公”经费支出共计</w:t>
      </w:r>
      <w:r>
        <w:rPr>
          <w:rFonts w:ascii="方正仿宋_GBK" w:eastAsia="方正仿宋_GBK"/>
          <w:sz w:val="32"/>
          <w:szCs w:val="32"/>
        </w:rPr>
        <w:t>2.9</w:t>
      </w:r>
      <w:r>
        <w:rPr>
          <w:rFonts w:ascii="方正仿宋_GBK" w:eastAsia="方正仿宋_GBK"/>
          <w:sz w:val="32"/>
          <w:szCs w:val="32"/>
        </w:rPr>
        <w:t>万</w:t>
      </w:r>
      <w:r>
        <w:rPr>
          <w:rFonts w:ascii="方正仿宋_GBK" w:eastAsia="方正仿宋_GBK"/>
          <w:sz w:val="32"/>
          <w:szCs w:val="32"/>
        </w:rPr>
        <w:t>元，较年初预算数减少</w:t>
      </w:r>
      <w:r>
        <w:rPr>
          <w:rFonts w:ascii="方正仿宋_GBK" w:eastAsia="方正仿宋_GBK"/>
          <w:sz w:val="32"/>
          <w:szCs w:val="32"/>
        </w:rPr>
        <w:t>6.47</w:t>
      </w:r>
      <w:r>
        <w:rPr>
          <w:rFonts w:ascii="方正仿宋_GBK" w:eastAsia="方正仿宋_GBK"/>
          <w:sz w:val="32"/>
          <w:szCs w:val="32"/>
        </w:rPr>
        <w:t>万元，下降</w:t>
      </w:r>
      <w:r>
        <w:rPr>
          <w:rFonts w:ascii="方正仿宋_GBK" w:eastAsia="方正仿宋_GBK"/>
          <w:sz w:val="32"/>
          <w:szCs w:val="32"/>
        </w:rPr>
        <w:t>69.2%</w:t>
      </w:r>
      <w:r>
        <w:rPr>
          <w:rFonts w:ascii="方正仿宋_GBK" w:eastAsia="方正仿宋_GBK"/>
          <w:sz w:val="32"/>
          <w:szCs w:val="32"/>
        </w:rPr>
        <w:t>，主要原因是认真贯彻落实中央“八项规定”精神和厉行节约要求，从严控制“三公”经费，全年预算有所下降。较上年支出数增加</w:t>
      </w:r>
      <w:r>
        <w:rPr>
          <w:rFonts w:ascii="方正仿宋_GBK" w:eastAsia="方正仿宋_GBK"/>
          <w:sz w:val="32"/>
          <w:szCs w:val="32"/>
        </w:rPr>
        <w:t>1.80</w:t>
      </w:r>
      <w:r>
        <w:rPr>
          <w:rFonts w:ascii="方正仿宋_GBK" w:eastAsia="方正仿宋_GBK"/>
          <w:sz w:val="32"/>
          <w:szCs w:val="32"/>
        </w:rPr>
        <w:t>万元，增长</w:t>
      </w:r>
      <w:r>
        <w:rPr>
          <w:rFonts w:ascii="方正仿宋_GBK" w:eastAsia="方正仿宋_GBK"/>
          <w:sz w:val="32"/>
          <w:szCs w:val="32"/>
        </w:rPr>
        <w:t>166.7%</w:t>
      </w:r>
      <w:r>
        <w:rPr>
          <w:rFonts w:ascii="方正仿宋_GBK" w:eastAsia="方正仿宋_GBK"/>
          <w:sz w:val="32"/>
          <w:szCs w:val="32"/>
        </w:rPr>
        <w:t>，主要原因是我单位公务用车使用年限较长，日常维修频次增加，维护费用增加。</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（二）“三公”经费分项支出情况</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年度本单位因公出国（境）费用</w:t>
      </w:r>
      <w:r>
        <w:rPr>
          <w:rFonts w:ascii="方正仿宋_GBK" w:eastAsia="方正仿宋_GBK"/>
          <w:sz w:val="32"/>
          <w:szCs w:val="32"/>
        </w:rPr>
        <w:t>0.0</w:t>
      </w:r>
      <w:r>
        <w:rPr>
          <w:rFonts w:ascii="方正仿宋_GBK" w:eastAsia="方正仿宋_GBK"/>
          <w:sz w:val="32"/>
          <w:szCs w:val="32"/>
        </w:rPr>
        <w:t>万元，较年初预算</w:t>
      </w:r>
      <w:r>
        <w:rPr>
          <w:rFonts w:ascii="方正仿宋_GBK" w:eastAsia="方正仿宋_GBK"/>
          <w:sz w:val="32"/>
          <w:szCs w:val="32"/>
        </w:rPr>
        <w:t>数无增减，较上年支出数无增减，主要原因是</w:t>
      </w:r>
      <w:r>
        <w:rPr>
          <w:rFonts w:ascii="方正仿宋_GBK" w:eastAsia="方正仿宋_GBK"/>
          <w:sz w:val="32"/>
          <w:szCs w:val="32"/>
        </w:rPr>
        <w:t>本单位</w:t>
      </w:r>
      <w:r>
        <w:rPr>
          <w:rFonts w:ascii="方正仿宋_GBK" w:eastAsia="方正仿宋_GBK"/>
          <w:sz w:val="32"/>
          <w:szCs w:val="32"/>
        </w:rPr>
        <w:t>2024</w:t>
      </w:r>
      <w:r>
        <w:rPr>
          <w:rFonts w:ascii="方正仿宋_GBK" w:eastAsia="方正仿宋_GBK"/>
          <w:sz w:val="32"/>
          <w:szCs w:val="32"/>
        </w:rPr>
        <w:t>年度未安排因公出国（境）。</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公务车购置费</w:t>
      </w:r>
      <w:r>
        <w:rPr>
          <w:rFonts w:ascii="方正仿宋_GBK" w:eastAsia="方正仿宋_GBK"/>
          <w:sz w:val="32"/>
          <w:szCs w:val="32"/>
        </w:rPr>
        <w:t>0.0</w:t>
      </w:r>
      <w:r>
        <w:rPr>
          <w:rFonts w:ascii="方正仿宋_GBK" w:eastAsia="方正仿宋_GBK"/>
          <w:sz w:val="32"/>
          <w:szCs w:val="32"/>
        </w:rPr>
        <w:t>万元，较年初预算</w:t>
      </w:r>
      <w:r>
        <w:rPr>
          <w:rFonts w:ascii="方正仿宋_GBK" w:eastAsia="方正仿宋_GBK"/>
          <w:sz w:val="32"/>
          <w:szCs w:val="32"/>
        </w:rPr>
        <w:t>数无增减，较上年支出数无增减，主要原因是</w:t>
      </w:r>
      <w:r>
        <w:rPr>
          <w:rFonts w:ascii="方正仿宋_GBK" w:eastAsia="方正仿宋_GBK"/>
          <w:sz w:val="32"/>
          <w:szCs w:val="32"/>
        </w:rPr>
        <w:t>2023</w:t>
      </w:r>
      <w:r>
        <w:rPr>
          <w:rFonts w:ascii="方正仿宋_GBK" w:eastAsia="方正仿宋_GBK"/>
          <w:sz w:val="32"/>
          <w:szCs w:val="32"/>
        </w:rPr>
        <w:t>年度未购置公务车。</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lastRenderedPageBreak/>
        <w:t>公务车运行维护费</w:t>
      </w:r>
      <w:r>
        <w:rPr>
          <w:rFonts w:ascii="方正仿宋_GBK" w:eastAsia="方正仿宋_GBK"/>
          <w:sz w:val="32"/>
          <w:szCs w:val="32"/>
        </w:rPr>
        <w:t>2.2</w:t>
      </w:r>
      <w:r>
        <w:rPr>
          <w:rFonts w:ascii="方正仿宋_GBK" w:eastAsia="方正仿宋_GBK"/>
          <w:sz w:val="32"/>
          <w:szCs w:val="32"/>
        </w:rPr>
        <w:t>万元，主要用于机要文件交换、县内因公出行、村级业务检查，下乡走访等工作所需车辆的燃料费、维修费、过桥过路费、保险费等费用。费用支出较年初预算数减少</w:t>
      </w:r>
      <w:r>
        <w:rPr>
          <w:rFonts w:ascii="方正仿宋_GBK" w:eastAsia="方正仿宋_GBK"/>
          <w:sz w:val="32"/>
          <w:szCs w:val="32"/>
        </w:rPr>
        <w:t>5.47</w:t>
      </w:r>
      <w:r>
        <w:rPr>
          <w:rFonts w:ascii="方正仿宋_GBK" w:eastAsia="方正仿宋_GBK"/>
          <w:sz w:val="32"/>
          <w:szCs w:val="32"/>
        </w:rPr>
        <w:t>万元，下降</w:t>
      </w:r>
      <w:r>
        <w:rPr>
          <w:rFonts w:ascii="方正仿宋_GBK" w:eastAsia="方正仿宋_GBK"/>
          <w:sz w:val="32"/>
          <w:szCs w:val="32"/>
        </w:rPr>
        <w:t>71.0%</w:t>
      </w:r>
      <w:r>
        <w:rPr>
          <w:rFonts w:ascii="方正仿宋_GBK" w:eastAsia="方正仿宋_GBK"/>
          <w:sz w:val="32"/>
          <w:szCs w:val="32"/>
        </w:rPr>
        <w:t>，主要原因是严格执行公车改革规定，杜绝公车私用的情况。较上年支出数增加</w:t>
      </w:r>
      <w:r>
        <w:rPr>
          <w:rFonts w:ascii="方正仿宋_GBK" w:eastAsia="方正仿宋_GBK"/>
          <w:sz w:val="32"/>
          <w:szCs w:val="32"/>
        </w:rPr>
        <w:t>1.15</w:t>
      </w:r>
      <w:r>
        <w:rPr>
          <w:rFonts w:ascii="方正仿宋_GBK" w:eastAsia="方正仿宋_GBK"/>
          <w:sz w:val="32"/>
          <w:szCs w:val="32"/>
        </w:rPr>
        <w:t>万元，增长</w:t>
      </w:r>
      <w:r>
        <w:rPr>
          <w:rFonts w:ascii="方正仿宋_GBK" w:eastAsia="方正仿宋_GBK"/>
          <w:sz w:val="32"/>
          <w:szCs w:val="32"/>
        </w:rPr>
        <w:t>106.5%</w:t>
      </w:r>
      <w:r>
        <w:rPr>
          <w:rFonts w:ascii="方正仿宋_GBK" w:eastAsia="方正仿宋_GBK"/>
          <w:sz w:val="32"/>
          <w:szCs w:val="32"/>
        </w:rPr>
        <w:t>，主要原因是我单位公务用车使用年限较长，日常维修频次增加，维护费用增加。</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公务接待费</w:t>
      </w:r>
      <w:r>
        <w:rPr>
          <w:rFonts w:ascii="方正仿宋_GBK" w:eastAsia="方正仿宋_GBK"/>
          <w:sz w:val="32"/>
          <w:szCs w:val="32"/>
        </w:rPr>
        <w:t>0.7</w:t>
      </w:r>
      <w:r>
        <w:rPr>
          <w:rFonts w:ascii="方正仿宋_GBK" w:eastAsia="方正仿宋_GBK"/>
          <w:sz w:val="32"/>
          <w:szCs w:val="32"/>
        </w:rPr>
        <w:t>万元，主要用于接待上级部门检查、工作交流等。费用支出较年初</w:t>
      </w:r>
      <w:r>
        <w:rPr>
          <w:rFonts w:ascii="方正仿宋_GBK" w:eastAsia="方正仿宋_GBK"/>
          <w:sz w:val="32"/>
          <w:szCs w:val="32"/>
        </w:rPr>
        <w:t>预算数减少</w:t>
      </w:r>
      <w:r>
        <w:rPr>
          <w:rFonts w:ascii="方正仿宋_GBK" w:eastAsia="方正仿宋_GBK"/>
          <w:sz w:val="32"/>
          <w:szCs w:val="32"/>
        </w:rPr>
        <w:t>1.00</w:t>
      </w:r>
      <w:r>
        <w:rPr>
          <w:rFonts w:ascii="方正仿宋_GBK" w:eastAsia="方正仿宋_GBK"/>
          <w:sz w:val="32"/>
          <w:szCs w:val="32"/>
        </w:rPr>
        <w:t>万元，下降</w:t>
      </w:r>
      <w:r>
        <w:rPr>
          <w:rFonts w:ascii="方正仿宋_GBK" w:eastAsia="方正仿宋_GBK"/>
          <w:sz w:val="32"/>
          <w:szCs w:val="32"/>
        </w:rPr>
        <w:t>60.6%</w:t>
      </w:r>
      <w:r>
        <w:rPr>
          <w:rFonts w:ascii="方正仿宋_GBK" w:eastAsia="方正仿宋_GBK"/>
          <w:sz w:val="32"/>
          <w:szCs w:val="32"/>
        </w:rPr>
        <w:t>，主要原因是严格按照公务接待相关规定进行接待，严禁超标准超范围接待。较上年支出数增加</w:t>
      </w:r>
      <w:r>
        <w:rPr>
          <w:rFonts w:ascii="方正仿宋_GBK" w:eastAsia="方正仿宋_GBK"/>
          <w:sz w:val="32"/>
          <w:szCs w:val="32"/>
        </w:rPr>
        <w:t>0.65</w:t>
      </w:r>
      <w:r>
        <w:rPr>
          <w:rFonts w:ascii="方正仿宋_GBK" w:eastAsia="方正仿宋_GBK"/>
          <w:sz w:val="32"/>
          <w:szCs w:val="32"/>
        </w:rPr>
        <w:t>万元，增长</w:t>
      </w:r>
      <w:r>
        <w:rPr>
          <w:rFonts w:ascii="方正仿宋_GBK" w:eastAsia="方正仿宋_GBK"/>
          <w:sz w:val="32"/>
          <w:szCs w:val="32"/>
        </w:rPr>
        <w:t>100.0%</w:t>
      </w:r>
      <w:r>
        <w:rPr>
          <w:rFonts w:ascii="方正仿宋_GBK" w:eastAsia="方正仿宋_GBK"/>
          <w:sz w:val="32"/>
          <w:szCs w:val="32"/>
        </w:rPr>
        <w:t>，主要原因是政府（本级）接待与站所合并报销，</w:t>
      </w:r>
      <w:r>
        <w:rPr>
          <w:rFonts w:ascii="方正仿宋_GBK" w:eastAsia="方正仿宋_GBK"/>
          <w:sz w:val="32"/>
          <w:szCs w:val="32"/>
        </w:rPr>
        <w:t>2024</w:t>
      </w:r>
      <w:r>
        <w:rPr>
          <w:rFonts w:ascii="方正仿宋_GBK" w:eastAsia="方正仿宋_GBK"/>
          <w:sz w:val="32"/>
          <w:szCs w:val="32"/>
        </w:rPr>
        <w:t>年公务接待费用在政府本级列支。</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（三）“三公”经费实物量情况</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年度本单位因公出国（境）共计</w:t>
      </w:r>
      <w:r>
        <w:rPr>
          <w:rFonts w:ascii="方正仿宋_GBK" w:eastAsia="方正仿宋_GBK"/>
          <w:sz w:val="32"/>
          <w:szCs w:val="32"/>
        </w:rPr>
        <w:t>0</w:t>
      </w:r>
      <w:r>
        <w:rPr>
          <w:rFonts w:ascii="方正仿宋_GBK" w:eastAsia="方正仿宋_GBK"/>
          <w:sz w:val="32"/>
          <w:szCs w:val="32"/>
        </w:rPr>
        <w:t>个团组，</w:t>
      </w:r>
      <w:r>
        <w:rPr>
          <w:rFonts w:ascii="方正仿宋_GBK" w:eastAsia="方正仿宋_GBK"/>
          <w:sz w:val="32"/>
          <w:szCs w:val="32"/>
        </w:rPr>
        <w:t>0</w:t>
      </w:r>
      <w:r>
        <w:rPr>
          <w:rFonts w:ascii="方正仿宋_GBK" w:eastAsia="方正仿宋_GBK"/>
          <w:sz w:val="32"/>
          <w:szCs w:val="32"/>
        </w:rPr>
        <w:t>人；公务用车购置</w:t>
      </w:r>
      <w:r>
        <w:rPr>
          <w:rFonts w:ascii="方正仿宋_GBK" w:eastAsia="方正仿宋_GBK"/>
          <w:sz w:val="32"/>
          <w:szCs w:val="32"/>
        </w:rPr>
        <w:t>0</w:t>
      </w:r>
      <w:r>
        <w:rPr>
          <w:rFonts w:ascii="方正仿宋_GBK" w:eastAsia="方正仿宋_GBK"/>
          <w:sz w:val="32"/>
          <w:szCs w:val="32"/>
        </w:rPr>
        <w:t>辆，公务车保有量为</w:t>
      </w:r>
      <w:r>
        <w:rPr>
          <w:rFonts w:ascii="方正仿宋_GBK" w:eastAsia="方正仿宋_GBK"/>
          <w:sz w:val="32"/>
          <w:szCs w:val="32"/>
        </w:rPr>
        <w:t>2</w:t>
      </w:r>
      <w:r>
        <w:rPr>
          <w:rFonts w:ascii="方正仿宋_GBK" w:eastAsia="方正仿宋_GBK"/>
          <w:sz w:val="32"/>
          <w:szCs w:val="32"/>
        </w:rPr>
        <w:t>辆；国内公务接待</w:t>
      </w:r>
      <w:r>
        <w:rPr>
          <w:rFonts w:ascii="方正仿宋_GBK" w:eastAsia="方正仿宋_GBK"/>
          <w:sz w:val="32"/>
          <w:szCs w:val="32"/>
        </w:rPr>
        <w:t>217</w:t>
      </w:r>
      <w:r>
        <w:rPr>
          <w:rFonts w:ascii="方正仿宋_GBK" w:eastAsia="方正仿宋_GBK"/>
          <w:sz w:val="32"/>
          <w:szCs w:val="32"/>
        </w:rPr>
        <w:t>批次</w:t>
      </w:r>
      <w:r>
        <w:rPr>
          <w:rFonts w:ascii="方正仿宋_GBK" w:eastAsia="方正仿宋_GBK"/>
          <w:sz w:val="32"/>
          <w:szCs w:val="32"/>
        </w:rPr>
        <w:t>217</w:t>
      </w:r>
      <w:r>
        <w:rPr>
          <w:rFonts w:ascii="方正仿宋_GBK" w:eastAsia="方正仿宋_GBK"/>
          <w:sz w:val="32"/>
          <w:szCs w:val="32"/>
        </w:rPr>
        <w:t>人，其中：国内外事接待</w:t>
      </w:r>
      <w:r>
        <w:rPr>
          <w:rFonts w:ascii="方正仿宋_GBK" w:eastAsia="方正仿宋_GBK"/>
          <w:sz w:val="32"/>
          <w:szCs w:val="32"/>
        </w:rPr>
        <w:t>0</w:t>
      </w:r>
      <w:r>
        <w:rPr>
          <w:rFonts w:ascii="方正仿宋_GBK" w:eastAsia="方正仿宋_GBK"/>
          <w:sz w:val="32"/>
          <w:szCs w:val="32"/>
        </w:rPr>
        <w:t>批次，</w:t>
      </w:r>
      <w:r>
        <w:rPr>
          <w:rFonts w:ascii="方正仿宋_GBK" w:eastAsia="方正仿宋_GBK"/>
          <w:sz w:val="32"/>
          <w:szCs w:val="32"/>
        </w:rPr>
        <w:t>0</w:t>
      </w:r>
      <w:r>
        <w:rPr>
          <w:rFonts w:ascii="方正仿宋_GBK" w:eastAsia="方正仿宋_GBK"/>
          <w:sz w:val="32"/>
          <w:szCs w:val="32"/>
        </w:rPr>
        <w:t>人；国（境）外公务接待</w:t>
      </w:r>
      <w:r>
        <w:rPr>
          <w:rFonts w:ascii="方正仿宋_GBK" w:eastAsia="方正仿宋_GBK"/>
          <w:sz w:val="32"/>
          <w:szCs w:val="32"/>
        </w:rPr>
        <w:t>0</w:t>
      </w:r>
      <w:r>
        <w:rPr>
          <w:rFonts w:ascii="方正仿宋_GBK" w:eastAsia="方正仿宋_GBK"/>
          <w:sz w:val="32"/>
          <w:szCs w:val="32"/>
        </w:rPr>
        <w:t>批次，</w:t>
      </w:r>
      <w:r>
        <w:rPr>
          <w:rFonts w:ascii="方正仿宋_GBK" w:eastAsia="方正仿宋_GBK"/>
          <w:sz w:val="32"/>
          <w:szCs w:val="32"/>
        </w:rPr>
        <w:t>0</w:t>
      </w:r>
      <w:r>
        <w:rPr>
          <w:rFonts w:ascii="方正仿宋_GBK" w:eastAsia="方正仿宋_GBK"/>
          <w:sz w:val="32"/>
          <w:szCs w:val="32"/>
        </w:rPr>
        <w:t>人。</w:t>
      </w:r>
      <w:r>
        <w:rPr>
          <w:rFonts w:ascii="方正仿宋_GBK" w:eastAsia="方正仿宋_GBK"/>
          <w:sz w:val="32"/>
          <w:szCs w:val="32"/>
        </w:rPr>
        <w:t>2024</w:t>
      </w:r>
      <w:r>
        <w:rPr>
          <w:rFonts w:ascii="方正仿宋_GBK" w:eastAsia="方正仿宋_GBK"/>
          <w:sz w:val="32"/>
          <w:szCs w:val="32"/>
        </w:rPr>
        <w:t>年本单位人均接待费</w:t>
      </w:r>
      <w:r>
        <w:rPr>
          <w:rFonts w:ascii="方正仿宋_GBK" w:eastAsia="方正仿宋_GBK"/>
          <w:sz w:val="32"/>
          <w:szCs w:val="32"/>
        </w:rPr>
        <w:t>30.0</w:t>
      </w:r>
      <w:r>
        <w:rPr>
          <w:rFonts w:ascii="方正仿宋_GBK" w:eastAsia="方正仿宋_GBK"/>
          <w:sz w:val="32"/>
          <w:szCs w:val="32"/>
        </w:rPr>
        <w:t>元，车均购置费</w:t>
      </w:r>
      <w:r>
        <w:rPr>
          <w:rFonts w:ascii="方正仿宋_GBK" w:eastAsia="方正仿宋_GBK"/>
          <w:sz w:val="32"/>
          <w:szCs w:val="32"/>
        </w:rPr>
        <w:t>0</w:t>
      </w:r>
      <w:r>
        <w:rPr>
          <w:rFonts w:ascii="方正仿宋_GBK" w:eastAsia="方正仿宋_GBK"/>
          <w:sz w:val="32"/>
          <w:szCs w:val="32"/>
        </w:rPr>
        <w:t>万元，车均</w:t>
      </w:r>
      <w:r>
        <w:rPr>
          <w:rFonts w:ascii="方正仿宋_GBK" w:eastAsia="方正仿宋_GBK"/>
          <w:sz w:val="32"/>
          <w:szCs w:val="32"/>
        </w:rPr>
        <w:t>维护费</w:t>
      </w:r>
      <w:r>
        <w:rPr>
          <w:rFonts w:ascii="方正仿宋_GBK" w:eastAsia="方正仿宋_GBK"/>
          <w:sz w:val="32"/>
          <w:szCs w:val="32"/>
        </w:rPr>
        <w:t>1.1</w:t>
      </w:r>
      <w:r>
        <w:rPr>
          <w:rFonts w:ascii="方正仿宋_GBK" w:eastAsia="方正仿宋_GBK"/>
          <w:sz w:val="32"/>
          <w:szCs w:val="32"/>
        </w:rPr>
        <w:t>万元。</w:t>
      </w:r>
    </w:p>
    <w:p w:rsidR="005E562C" w:rsidRDefault="000942AC">
      <w:pPr>
        <w:spacing w:line="594" w:lineRule="exact"/>
        <w:ind w:firstLineChars="200" w:firstLine="640"/>
        <w:rPr>
          <w:rFonts w:ascii="方正黑体_GBK" w:eastAsia="方正黑体_GBK" w:hAnsiTheme="minorHAnsi" w:cstheme="minorBidi" w:hint="default"/>
          <w:kern w:val="2"/>
          <w:sz w:val="32"/>
          <w:szCs w:val="32"/>
        </w:rPr>
      </w:pPr>
      <w:r>
        <w:rPr>
          <w:rFonts w:ascii="方正黑体_GBK" w:eastAsia="方正黑体_GBK" w:hAnsiTheme="minorHAnsi" w:cstheme="minorBidi"/>
          <w:kern w:val="2"/>
          <w:sz w:val="32"/>
          <w:szCs w:val="32"/>
        </w:rPr>
        <w:t>四、其他需要说明的事项</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（一）财政拨款会议费和培训费情况说明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本年度会议费支出</w:t>
      </w:r>
      <w:r>
        <w:rPr>
          <w:rFonts w:ascii="方正仿宋_GBK" w:eastAsia="方正仿宋_GBK"/>
          <w:sz w:val="32"/>
          <w:szCs w:val="32"/>
        </w:rPr>
        <w:t>1.5</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年度相比，增加</w:t>
      </w:r>
      <w:r>
        <w:rPr>
          <w:rFonts w:ascii="方正仿宋_GBK" w:eastAsia="方正仿宋_GBK"/>
          <w:sz w:val="32"/>
          <w:szCs w:val="32"/>
        </w:rPr>
        <w:t>1.16</w:t>
      </w:r>
      <w:r>
        <w:rPr>
          <w:rFonts w:ascii="方正仿宋_GBK" w:eastAsia="方正仿宋_GBK"/>
          <w:sz w:val="32"/>
          <w:szCs w:val="32"/>
        </w:rPr>
        <w:t>万元，增长</w:t>
      </w:r>
      <w:r>
        <w:rPr>
          <w:rFonts w:ascii="方正仿宋_GBK" w:eastAsia="方正仿宋_GBK"/>
          <w:sz w:val="32"/>
          <w:szCs w:val="32"/>
        </w:rPr>
        <w:t>322.2%</w:t>
      </w:r>
      <w:r w:rsidR="005C3D18">
        <w:rPr>
          <w:rFonts w:ascii="方正仿宋_GBK" w:eastAsia="方正仿宋_GBK"/>
          <w:sz w:val="32"/>
          <w:szCs w:val="32"/>
        </w:rPr>
        <w:t>，主要原因是</w:t>
      </w:r>
      <w:r>
        <w:rPr>
          <w:rFonts w:ascii="方正仿宋_GBK" w:eastAsia="方正仿宋_GBK"/>
          <w:sz w:val="32"/>
          <w:szCs w:val="32"/>
        </w:rPr>
        <w:t>生态环保督查整改、林</w:t>
      </w:r>
      <w:r>
        <w:rPr>
          <w:rFonts w:ascii="方正仿宋_GBK" w:eastAsia="方正仿宋_GBK"/>
          <w:sz w:val="32"/>
          <w:szCs w:val="32"/>
        </w:rPr>
        <w:lastRenderedPageBreak/>
        <w:t>业撂荒地复耕复种等工作时间紧、任务重的背景下，相关支出增加。本年度培训费支出</w:t>
      </w:r>
      <w:r>
        <w:rPr>
          <w:rFonts w:ascii="方正仿宋_GBK" w:eastAsia="方正仿宋_GBK"/>
          <w:sz w:val="32"/>
          <w:szCs w:val="32"/>
        </w:rPr>
        <w:t>1.2</w:t>
      </w:r>
      <w:r>
        <w:rPr>
          <w:rFonts w:ascii="方正仿宋_GBK" w:eastAsia="方正仿宋_GBK"/>
          <w:sz w:val="32"/>
          <w:szCs w:val="32"/>
        </w:rPr>
        <w:t>万元，与</w:t>
      </w:r>
      <w:r>
        <w:rPr>
          <w:rFonts w:ascii="方正仿宋_GBK" w:eastAsia="方正仿宋_GBK"/>
          <w:sz w:val="32"/>
          <w:szCs w:val="32"/>
        </w:rPr>
        <w:t>2023</w:t>
      </w:r>
      <w:r>
        <w:rPr>
          <w:rFonts w:ascii="方正仿宋_GBK" w:eastAsia="方正仿宋_GBK"/>
          <w:sz w:val="32"/>
          <w:szCs w:val="32"/>
        </w:rPr>
        <w:t>年度相比，增加</w:t>
      </w:r>
      <w:r>
        <w:rPr>
          <w:rFonts w:ascii="方正仿宋_GBK" w:eastAsia="方正仿宋_GBK"/>
          <w:sz w:val="32"/>
          <w:szCs w:val="32"/>
        </w:rPr>
        <w:t>0.09</w:t>
      </w:r>
      <w:r>
        <w:rPr>
          <w:rFonts w:ascii="方正仿宋_GBK" w:eastAsia="方正仿宋_GBK"/>
          <w:sz w:val="32"/>
          <w:szCs w:val="32"/>
        </w:rPr>
        <w:t>万元，增长</w:t>
      </w:r>
      <w:r>
        <w:rPr>
          <w:rFonts w:ascii="方正仿宋_GBK" w:eastAsia="方正仿宋_GBK"/>
          <w:sz w:val="32"/>
          <w:szCs w:val="32"/>
        </w:rPr>
        <w:t>8.0%</w:t>
      </w:r>
      <w:r>
        <w:rPr>
          <w:rFonts w:ascii="方正仿宋_GBK" w:eastAsia="方正仿宋_GBK"/>
          <w:sz w:val="32"/>
          <w:szCs w:val="32"/>
        </w:rPr>
        <w:t>，主要原因是因“数字重庆”建设、“网格化”管理等工作需要，相关培训支出增加。</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（二）机关运行经费情况说明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年度本单位机关运行经费支出</w:t>
      </w:r>
      <w:r>
        <w:rPr>
          <w:rFonts w:ascii="方正仿宋_GBK" w:eastAsia="方正仿宋_GBK"/>
          <w:sz w:val="32"/>
          <w:szCs w:val="32"/>
        </w:rPr>
        <w:t>61.9</w:t>
      </w:r>
      <w:r>
        <w:rPr>
          <w:rFonts w:ascii="方正仿宋_GBK" w:eastAsia="方正仿宋_GBK"/>
          <w:sz w:val="32"/>
          <w:szCs w:val="32"/>
        </w:rPr>
        <w:t>万元，机关运行经费主要用于开支办公费、公务车运行维护费，会议费，差旅费、劳务费、水电费、邮电费，公务接待费等。机关运行经费较上年支出数增加</w:t>
      </w:r>
      <w:r>
        <w:rPr>
          <w:rFonts w:ascii="方正仿宋_GBK" w:eastAsia="方正仿宋_GBK"/>
          <w:sz w:val="32"/>
          <w:szCs w:val="32"/>
        </w:rPr>
        <w:t>4.04</w:t>
      </w:r>
      <w:r>
        <w:rPr>
          <w:rFonts w:ascii="方正仿宋_GBK" w:eastAsia="方正仿宋_GBK"/>
          <w:sz w:val="32"/>
          <w:szCs w:val="32"/>
        </w:rPr>
        <w:t>万元，增长</w:t>
      </w:r>
      <w:r>
        <w:rPr>
          <w:rFonts w:ascii="方正仿宋_GBK" w:eastAsia="方正仿宋_GBK"/>
          <w:sz w:val="32"/>
          <w:szCs w:val="32"/>
        </w:rPr>
        <w:t>7.0%</w:t>
      </w:r>
      <w:r w:rsidR="005C3D18">
        <w:rPr>
          <w:rFonts w:ascii="方正仿宋_GBK" w:eastAsia="方正仿宋_GBK"/>
          <w:sz w:val="32"/>
          <w:szCs w:val="32"/>
        </w:rPr>
        <w:t>，主要原因是</w:t>
      </w:r>
      <w:r>
        <w:rPr>
          <w:rFonts w:ascii="方正仿宋_GBK" w:eastAsia="方正仿宋_GBK"/>
          <w:sz w:val="32"/>
          <w:szCs w:val="32"/>
        </w:rPr>
        <w:t>生态环保督查整改、林业撂荒地复耕复种等工作时间紧、任务重的背景下，相关支出增加。</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（三）国有资产占用情况说明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截至</w:t>
      </w:r>
      <w:r>
        <w:rPr>
          <w:rFonts w:ascii="方正仿宋_GBK" w:eastAsia="方正仿宋_GBK"/>
          <w:sz w:val="32"/>
          <w:szCs w:val="32"/>
        </w:rPr>
        <w:t>2024</w:t>
      </w:r>
      <w:r>
        <w:rPr>
          <w:rFonts w:ascii="方正仿宋_GBK" w:eastAsia="方正仿宋_GBK"/>
          <w:sz w:val="32"/>
          <w:szCs w:val="32"/>
        </w:rPr>
        <w:t>年</w:t>
      </w:r>
      <w:r>
        <w:rPr>
          <w:rFonts w:ascii="方正仿宋_GBK" w:eastAsia="方正仿宋_GBK"/>
          <w:sz w:val="32"/>
          <w:szCs w:val="32"/>
        </w:rPr>
        <w:t>12</w:t>
      </w:r>
      <w:r>
        <w:rPr>
          <w:rFonts w:ascii="方正仿宋_GBK" w:eastAsia="方正仿宋_GBK"/>
          <w:sz w:val="32"/>
          <w:szCs w:val="32"/>
        </w:rPr>
        <w:t>月</w:t>
      </w:r>
      <w:r>
        <w:rPr>
          <w:rFonts w:ascii="方正仿宋_GBK" w:eastAsia="方正仿宋_GBK"/>
          <w:sz w:val="32"/>
          <w:szCs w:val="32"/>
        </w:rPr>
        <w:t>31</w:t>
      </w:r>
      <w:r>
        <w:rPr>
          <w:rFonts w:ascii="方正仿宋_GBK" w:eastAsia="方正仿宋_GBK"/>
          <w:sz w:val="32"/>
          <w:szCs w:val="32"/>
        </w:rPr>
        <w:t>日，本单位共有车辆</w:t>
      </w:r>
      <w:r>
        <w:rPr>
          <w:rFonts w:ascii="方正仿宋_GBK" w:eastAsia="方正仿宋_GBK"/>
          <w:sz w:val="32"/>
          <w:szCs w:val="32"/>
        </w:rPr>
        <w:t>2</w:t>
      </w:r>
      <w:r>
        <w:rPr>
          <w:rFonts w:ascii="方正仿宋_GBK" w:eastAsia="方正仿宋_GBK"/>
          <w:sz w:val="32"/>
          <w:szCs w:val="32"/>
        </w:rPr>
        <w:t>辆，其中，副部（省）级及以上领导用车</w:t>
      </w:r>
      <w:r>
        <w:rPr>
          <w:rFonts w:ascii="方正仿宋_GBK" w:eastAsia="方正仿宋_GBK"/>
          <w:sz w:val="32"/>
          <w:szCs w:val="32"/>
        </w:rPr>
        <w:t>0</w:t>
      </w:r>
      <w:r>
        <w:rPr>
          <w:rFonts w:ascii="方正仿宋_GBK" w:eastAsia="方正仿宋_GBK"/>
          <w:sz w:val="32"/>
          <w:szCs w:val="32"/>
        </w:rPr>
        <w:t>辆、主要负责人用车</w:t>
      </w:r>
      <w:r>
        <w:rPr>
          <w:rFonts w:ascii="方正仿宋_GBK" w:eastAsia="方正仿宋_GBK"/>
          <w:sz w:val="32"/>
          <w:szCs w:val="32"/>
        </w:rPr>
        <w:t>0</w:t>
      </w:r>
      <w:r>
        <w:rPr>
          <w:rFonts w:ascii="方正仿宋_GBK" w:eastAsia="方正仿宋_GBK"/>
          <w:sz w:val="32"/>
          <w:szCs w:val="32"/>
        </w:rPr>
        <w:t>辆、机要通信用车</w:t>
      </w:r>
      <w:r>
        <w:rPr>
          <w:rFonts w:ascii="方正仿宋_GBK" w:eastAsia="方正仿宋_GBK"/>
          <w:sz w:val="32"/>
          <w:szCs w:val="32"/>
        </w:rPr>
        <w:t>0</w:t>
      </w:r>
      <w:r>
        <w:rPr>
          <w:rFonts w:ascii="方正仿宋_GBK" w:eastAsia="方正仿宋_GBK"/>
          <w:sz w:val="32"/>
          <w:szCs w:val="32"/>
        </w:rPr>
        <w:t>辆、应急保障用车</w:t>
      </w:r>
      <w:r>
        <w:rPr>
          <w:rFonts w:ascii="方正仿宋_GBK" w:eastAsia="方正仿宋_GBK"/>
          <w:sz w:val="32"/>
          <w:szCs w:val="32"/>
        </w:rPr>
        <w:t>2</w:t>
      </w:r>
      <w:r>
        <w:rPr>
          <w:rFonts w:ascii="方正仿宋_GBK" w:eastAsia="方正仿宋_GBK"/>
          <w:sz w:val="32"/>
          <w:szCs w:val="32"/>
        </w:rPr>
        <w:t>辆、执法执勤用车</w:t>
      </w:r>
      <w:r>
        <w:rPr>
          <w:rFonts w:ascii="方正仿宋_GBK" w:eastAsia="方正仿宋_GBK"/>
          <w:sz w:val="32"/>
          <w:szCs w:val="32"/>
        </w:rPr>
        <w:t>0</w:t>
      </w:r>
      <w:r>
        <w:rPr>
          <w:rFonts w:ascii="方正仿宋_GBK" w:eastAsia="方正仿宋_GBK"/>
          <w:sz w:val="32"/>
          <w:szCs w:val="32"/>
        </w:rPr>
        <w:t>辆，特种专业技术用车</w:t>
      </w:r>
      <w:r>
        <w:rPr>
          <w:rFonts w:ascii="方正仿宋_GBK" w:eastAsia="方正仿宋_GBK"/>
          <w:sz w:val="32"/>
          <w:szCs w:val="32"/>
        </w:rPr>
        <w:t>0</w:t>
      </w:r>
      <w:r>
        <w:rPr>
          <w:rFonts w:ascii="方正仿宋_GBK" w:eastAsia="方正仿宋_GBK"/>
          <w:sz w:val="32"/>
          <w:szCs w:val="32"/>
        </w:rPr>
        <w:t>辆</w:t>
      </w:r>
      <w:r>
        <w:rPr>
          <w:rFonts w:ascii="方正仿宋_GBK" w:eastAsia="方正仿宋_GBK"/>
          <w:sz w:val="32"/>
          <w:szCs w:val="32"/>
        </w:rPr>
        <w:t>，离退休干部用车</w:t>
      </w:r>
      <w:r>
        <w:rPr>
          <w:rFonts w:ascii="方正仿宋_GBK" w:eastAsia="方正仿宋_GBK"/>
          <w:sz w:val="32"/>
          <w:szCs w:val="32"/>
        </w:rPr>
        <w:t>0</w:t>
      </w:r>
      <w:r>
        <w:rPr>
          <w:rFonts w:ascii="方正仿宋_GBK" w:eastAsia="方正仿宋_GBK"/>
          <w:sz w:val="32"/>
          <w:szCs w:val="32"/>
        </w:rPr>
        <w:t>辆。单价</w:t>
      </w:r>
      <w:r>
        <w:rPr>
          <w:rFonts w:ascii="方正仿宋_GBK" w:eastAsia="方正仿宋_GBK"/>
          <w:sz w:val="32"/>
          <w:szCs w:val="32"/>
        </w:rPr>
        <w:t>100</w:t>
      </w:r>
      <w:r>
        <w:rPr>
          <w:rFonts w:ascii="方正仿宋_GBK" w:eastAsia="方正仿宋_GBK"/>
          <w:sz w:val="32"/>
          <w:szCs w:val="32"/>
        </w:rPr>
        <w:t>万元（含）以上专用设备</w:t>
      </w:r>
      <w:r>
        <w:rPr>
          <w:rFonts w:ascii="方正仿宋_GBK" w:eastAsia="方正仿宋_GBK"/>
          <w:sz w:val="32"/>
          <w:szCs w:val="32"/>
        </w:rPr>
        <w:t>0</w:t>
      </w:r>
      <w:r>
        <w:rPr>
          <w:rFonts w:ascii="方正仿宋_GBK" w:eastAsia="方正仿宋_GBK"/>
          <w:sz w:val="32"/>
          <w:szCs w:val="32"/>
        </w:rPr>
        <w:t>台（套）。</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（四）政府采购支出情况说明</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2024</w:t>
      </w:r>
      <w:r>
        <w:rPr>
          <w:rFonts w:ascii="方正仿宋_GBK" w:eastAsia="方正仿宋_GBK"/>
          <w:sz w:val="32"/>
          <w:szCs w:val="32"/>
        </w:rPr>
        <w:t>年度本单位政府采购支出总额</w:t>
      </w:r>
      <w:r>
        <w:rPr>
          <w:rFonts w:ascii="方正仿宋_GBK" w:eastAsia="方正仿宋_GBK"/>
          <w:sz w:val="32"/>
          <w:szCs w:val="32"/>
        </w:rPr>
        <w:t>4.3</w:t>
      </w:r>
      <w:r>
        <w:rPr>
          <w:rFonts w:ascii="方正仿宋_GBK" w:eastAsia="方正仿宋_GBK"/>
          <w:sz w:val="32"/>
          <w:szCs w:val="32"/>
        </w:rPr>
        <w:t>万元，其中：政府采购货物支出</w:t>
      </w:r>
      <w:r>
        <w:rPr>
          <w:rFonts w:ascii="方正仿宋_GBK" w:eastAsia="方正仿宋_GBK"/>
          <w:sz w:val="32"/>
          <w:szCs w:val="32"/>
        </w:rPr>
        <w:t>4.3</w:t>
      </w:r>
      <w:r>
        <w:rPr>
          <w:rFonts w:ascii="方正仿宋_GBK" w:eastAsia="方正仿宋_GBK"/>
          <w:sz w:val="32"/>
          <w:szCs w:val="32"/>
        </w:rPr>
        <w:t>万元、政府采购工程支出</w:t>
      </w:r>
      <w:r>
        <w:rPr>
          <w:rFonts w:ascii="方正仿宋_GBK" w:eastAsia="方正仿宋_GBK"/>
          <w:sz w:val="32"/>
          <w:szCs w:val="32"/>
        </w:rPr>
        <w:t>0.0</w:t>
      </w:r>
      <w:r>
        <w:rPr>
          <w:rFonts w:ascii="方正仿宋_GBK" w:eastAsia="方正仿宋_GBK"/>
          <w:sz w:val="32"/>
          <w:szCs w:val="32"/>
        </w:rPr>
        <w:t>万元、政府采购服务支出</w:t>
      </w:r>
      <w:r>
        <w:rPr>
          <w:rFonts w:ascii="方正仿宋_GBK" w:eastAsia="方正仿宋_GBK"/>
          <w:sz w:val="32"/>
          <w:szCs w:val="32"/>
        </w:rPr>
        <w:t>0.0</w:t>
      </w:r>
      <w:r>
        <w:rPr>
          <w:rFonts w:ascii="方正仿宋_GBK" w:eastAsia="方正仿宋_GBK"/>
          <w:sz w:val="32"/>
          <w:szCs w:val="32"/>
        </w:rPr>
        <w:t>万元。授予中小企业合同金额</w:t>
      </w:r>
      <w:r>
        <w:rPr>
          <w:rFonts w:ascii="方正仿宋_GBK" w:eastAsia="方正仿宋_GBK"/>
          <w:sz w:val="32"/>
          <w:szCs w:val="32"/>
        </w:rPr>
        <w:t>4.3</w:t>
      </w:r>
      <w:r>
        <w:rPr>
          <w:rFonts w:ascii="方正仿宋_GBK" w:eastAsia="方正仿宋_GBK"/>
          <w:sz w:val="32"/>
          <w:szCs w:val="32"/>
        </w:rPr>
        <w:t>万元，占政府采购支出总额的</w:t>
      </w:r>
      <w:r>
        <w:rPr>
          <w:rFonts w:ascii="方正仿宋_GBK" w:eastAsia="方正仿宋_GBK"/>
          <w:sz w:val="32"/>
          <w:szCs w:val="32"/>
        </w:rPr>
        <w:t>100.0%</w:t>
      </w:r>
      <w:r>
        <w:rPr>
          <w:rFonts w:ascii="方正仿宋_GBK" w:eastAsia="方正仿宋_GBK"/>
          <w:sz w:val="32"/>
          <w:szCs w:val="32"/>
        </w:rPr>
        <w:t>，其中：授予小微企业合同金</w:t>
      </w:r>
      <w:r>
        <w:rPr>
          <w:rFonts w:ascii="方正仿宋_GBK" w:eastAsia="方正仿宋_GBK"/>
          <w:sz w:val="32"/>
          <w:szCs w:val="32"/>
        </w:rPr>
        <w:lastRenderedPageBreak/>
        <w:t>额</w:t>
      </w:r>
      <w:r>
        <w:rPr>
          <w:rFonts w:ascii="方正仿宋_GBK" w:eastAsia="方正仿宋_GBK"/>
          <w:sz w:val="32"/>
          <w:szCs w:val="32"/>
        </w:rPr>
        <w:t>4.3</w:t>
      </w:r>
      <w:r>
        <w:rPr>
          <w:rFonts w:ascii="方正仿宋_GBK" w:eastAsia="方正仿宋_GBK"/>
          <w:sz w:val="32"/>
          <w:szCs w:val="32"/>
        </w:rPr>
        <w:t>万元，占政府采购支出总额的</w:t>
      </w:r>
      <w:r>
        <w:rPr>
          <w:rFonts w:ascii="方正仿宋_GBK" w:eastAsia="方正仿宋_GBK"/>
          <w:sz w:val="32"/>
          <w:szCs w:val="32"/>
        </w:rPr>
        <w:t>100.0 %</w:t>
      </w:r>
      <w:r>
        <w:rPr>
          <w:rFonts w:ascii="方正仿宋_GBK" w:eastAsia="方正仿宋_GBK"/>
          <w:sz w:val="32"/>
          <w:szCs w:val="32"/>
        </w:rPr>
        <w:t>。主要用于采购便民服务中心设备提档升级。</w:t>
      </w:r>
    </w:p>
    <w:p w:rsidR="005E562C" w:rsidRDefault="000942AC">
      <w:pPr>
        <w:spacing w:line="594" w:lineRule="exact"/>
        <w:ind w:firstLineChars="200" w:firstLine="640"/>
        <w:rPr>
          <w:rFonts w:ascii="方正黑体_GBK" w:eastAsia="方正黑体_GBK" w:hAnsiTheme="minorHAnsi" w:cstheme="minorBidi" w:hint="default"/>
          <w:kern w:val="2"/>
          <w:sz w:val="32"/>
          <w:szCs w:val="32"/>
        </w:rPr>
      </w:pPr>
      <w:r>
        <w:rPr>
          <w:rFonts w:ascii="方正黑体_GBK" w:eastAsia="方正黑体_GBK" w:hAnsiTheme="minorHAnsi" w:cstheme="minorBidi"/>
          <w:kern w:val="2"/>
          <w:sz w:val="32"/>
          <w:szCs w:val="32"/>
        </w:rPr>
        <w:t>五、</w:t>
      </w:r>
      <w:r>
        <w:rPr>
          <w:rFonts w:ascii="方正黑体_GBK" w:eastAsia="方正黑体_GBK" w:hAnsiTheme="minorHAnsi" w:cstheme="minorBidi"/>
          <w:kern w:val="2"/>
          <w:sz w:val="32"/>
          <w:szCs w:val="32"/>
        </w:rPr>
        <w:t>2024</w:t>
      </w:r>
      <w:r>
        <w:rPr>
          <w:rFonts w:ascii="方正黑体_GBK" w:eastAsia="方正黑体_GBK" w:hAnsiTheme="minorHAnsi" w:cstheme="minorBidi"/>
          <w:kern w:val="2"/>
          <w:sz w:val="32"/>
          <w:szCs w:val="32"/>
        </w:rPr>
        <w:t>年度预算绩效管理情况说明</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（一）单位自评情况</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根据预算绩效管理要求，我单位对</w:t>
      </w:r>
      <w:r>
        <w:rPr>
          <w:rFonts w:ascii="方正仿宋_GBK" w:eastAsia="方正仿宋_GBK"/>
          <w:sz w:val="32"/>
          <w:szCs w:val="32"/>
        </w:rPr>
        <w:t>51</w:t>
      </w:r>
      <w:r>
        <w:rPr>
          <w:rFonts w:ascii="方正仿宋_GBK" w:eastAsia="方正仿宋_GBK"/>
          <w:sz w:val="32"/>
          <w:szCs w:val="32"/>
        </w:rPr>
        <w:t>个二级项</w:t>
      </w:r>
      <w:r>
        <w:rPr>
          <w:rFonts w:ascii="方正仿宋_GBK" w:eastAsia="方正仿宋_GBK"/>
          <w:sz w:val="32"/>
          <w:szCs w:val="32"/>
        </w:rPr>
        <w:t>目开展了绩效自评，涉及财政拨款项目支出资金</w:t>
      </w:r>
      <w:r>
        <w:rPr>
          <w:rFonts w:ascii="方正仿宋_GBK" w:eastAsia="方正仿宋_GBK"/>
          <w:sz w:val="32"/>
          <w:szCs w:val="32"/>
        </w:rPr>
        <w:t>1072.58</w:t>
      </w:r>
      <w:r>
        <w:rPr>
          <w:rFonts w:ascii="方正仿宋_GBK" w:eastAsia="方正仿宋_GBK"/>
          <w:sz w:val="32"/>
          <w:szCs w:val="32"/>
        </w:rPr>
        <w:t>万元。</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详见附件：</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1.</w:t>
      </w:r>
      <w:r>
        <w:rPr>
          <w:rFonts w:ascii="方正仿宋_GBK" w:eastAsia="方正仿宋_GBK"/>
          <w:sz w:val="32"/>
          <w:szCs w:val="32"/>
        </w:rPr>
        <w:t>巫山县当阳乡人民政府</w:t>
      </w:r>
      <w:r>
        <w:rPr>
          <w:rFonts w:ascii="方正仿宋_GBK" w:eastAsia="方正仿宋_GBK"/>
          <w:sz w:val="32"/>
          <w:szCs w:val="32"/>
        </w:rPr>
        <w:t>2024</w:t>
      </w:r>
      <w:r>
        <w:rPr>
          <w:rFonts w:ascii="方正仿宋_GBK" w:eastAsia="方正仿宋_GBK"/>
          <w:sz w:val="32"/>
          <w:szCs w:val="32"/>
        </w:rPr>
        <w:t>年度部门整体目标填报表；</w:t>
      </w:r>
    </w:p>
    <w:p w:rsidR="005E562C" w:rsidRDefault="000942AC">
      <w:pPr>
        <w:spacing w:line="594" w:lineRule="exact"/>
        <w:ind w:leftChars="266" w:left="638"/>
        <w:rPr>
          <w:rFonts w:ascii="方正楷体_GBK" w:eastAsia="方正楷体_GBK" w:hAnsiTheme="minorHAnsi" w:cstheme="minorBidi" w:hint="default"/>
          <w:kern w:val="2"/>
          <w:sz w:val="32"/>
          <w:szCs w:val="32"/>
        </w:rPr>
      </w:pPr>
      <w:r>
        <w:rPr>
          <w:rFonts w:ascii="方正仿宋_GBK" w:eastAsia="方正仿宋_GBK"/>
          <w:sz w:val="32"/>
          <w:szCs w:val="32"/>
        </w:rPr>
        <w:t>2.</w:t>
      </w:r>
      <w:r>
        <w:rPr>
          <w:rFonts w:ascii="方正仿宋_GBK" w:eastAsia="方正仿宋_GBK"/>
          <w:sz w:val="32"/>
          <w:szCs w:val="32"/>
        </w:rPr>
        <w:t>巫山县当阳乡人民政府</w:t>
      </w:r>
      <w:r>
        <w:rPr>
          <w:rFonts w:ascii="方正仿宋_GBK" w:eastAsia="方正仿宋_GBK"/>
          <w:sz w:val="32"/>
          <w:szCs w:val="32"/>
        </w:rPr>
        <w:t>_2024</w:t>
      </w:r>
      <w:r>
        <w:rPr>
          <w:rFonts w:ascii="方正仿宋_GBK" w:eastAsia="方正仿宋_GBK"/>
          <w:sz w:val="32"/>
          <w:szCs w:val="32"/>
        </w:rPr>
        <w:t>二级项目绩效自评表。</w:t>
      </w:r>
      <w:r>
        <w:rPr>
          <w:rFonts w:ascii="方正楷体_GBK" w:eastAsia="方正楷体_GBK" w:hAnsiTheme="minorHAnsi" w:cstheme="minorBidi"/>
          <w:kern w:val="2"/>
          <w:sz w:val="32"/>
          <w:szCs w:val="32"/>
        </w:rPr>
        <w:t>（二）部门绩效评价情况</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我单位未组织开展绩效评价。</w:t>
      </w:r>
    </w:p>
    <w:p w:rsidR="005E562C" w:rsidRDefault="000942AC">
      <w:pPr>
        <w:spacing w:line="594" w:lineRule="exact"/>
        <w:ind w:firstLineChars="200" w:firstLine="640"/>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（三）财政绩效评价情况</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县财政局未委托第三方对我单位开展绩效评价。</w:t>
      </w:r>
    </w:p>
    <w:p w:rsidR="005E562C" w:rsidRDefault="000942AC">
      <w:pPr>
        <w:spacing w:line="594" w:lineRule="exact"/>
        <w:ind w:firstLineChars="200" w:firstLine="640"/>
        <w:rPr>
          <w:rFonts w:ascii="方正黑体_GBK" w:eastAsia="方正黑体_GBK" w:hAnsiTheme="minorHAnsi" w:cstheme="minorBidi" w:hint="default"/>
          <w:kern w:val="2"/>
          <w:sz w:val="32"/>
          <w:szCs w:val="32"/>
        </w:rPr>
      </w:pPr>
      <w:r>
        <w:rPr>
          <w:rFonts w:ascii="方正黑体_GBK" w:eastAsia="方正黑体_GBK" w:hAnsiTheme="minorHAnsi" w:cstheme="minorBidi"/>
          <w:kern w:val="2"/>
          <w:sz w:val="32"/>
          <w:szCs w:val="32"/>
        </w:rPr>
        <w:t xml:space="preserve"> </w:t>
      </w:r>
      <w:r>
        <w:rPr>
          <w:rFonts w:ascii="方正黑体_GBK" w:eastAsia="方正黑体_GBK" w:hAnsiTheme="minorHAnsi" w:cstheme="minorBidi"/>
          <w:kern w:val="2"/>
          <w:sz w:val="32"/>
          <w:szCs w:val="32"/>
        </w:rPr>
        <w:t>六、专业名词解释</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（一）财政拨款收入：</w:t>
      </w:r>
      <w:r>
        <w:rPr>
          <w:rFonts w:ascii="方正仿宋_GBK" w:eastAsia="方正仿宋_GBK"/>
          <w:sz w:val="32"/>
          <w:szCs w:val="32"/>
        </w:rPr>
        <w:t>指本年度从本级财政部门取得的财政拨款，包括一般公共预算财政拨款和政府性基金预算财政拨款。</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（二）事业收入：</w:t>
      </w:r>
      <w:r>
        <w:rPr>
          <w:rFonts w:ascii="方正仿宋_GBK" w:eastAsia="方正仿宋_GBK"/>
          <w:sz w:val="32"/>
          <w:szCs w:val="32"/>
        </w:rPr>
        <w:t>指事业单位开展专业业务活动及其辅助活动取得的现金流入；事业</w:t>
      </w:r>
      <w:r>
        <w:rPr>
          <w:rFonts w:ascii="方正仿宋_GBK" w:eastAsia="方正仿宋_GBK"/>
          <w:sz w:val="32"/>
          <w:szCs w:val="32"/>
        </w:rPr>
        <w:t>单位收到的财政专户实际核拨的教育收费等资金在此反映。</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（三）经营收入：</w:t>
      </w:r>
      <w:r>
        <w:rPr>
          <w:rFonts w:ascii="方正仿宋_GBK" w:eastAsia="方正仿宋_GBK"/>
          <w:sz w:val="32"/>
          <w:szCs w:val="32"/>
        </w:rPr>
        <w:t>指事业单位在专业业务活动及其辅助活动之外开展非独立核算经营活动取得的现金流入。</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lastRenderedPageBreak/>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w:t>
      </w:r>
      <w:r>
        <w:rPr>
          <w:rFonts w:ascii="方正仿宋_GBK" w:eastAsia="方正仿宋_GBK"/>
          <w:sz w:val="32"/>
          <w:szCs w:val="32"/>
        </w:rPr>
        <w:t>政拨款结余弥补本年度收支缺口的资金。</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（六）年初结转和结余：</w:t>
      </w:r>
      <w:r>
        <w:rPr>
          <w:rFonts w:ascii="方正仿宋_GBK" w:eastAsia="方正仿宋_GBK"/>
          <w:sz w:val="32"/>
          <w:szCs w:val="32"/>
        </w:rPr>
        <w:t>指单位上年结转本年使用的基本支出结转、项目支出结转和结余、经营结余。</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（八）年末结转和结余：</w:t>
      </w:r>
      <w:r>
        <w:rPr>
          <w:rFonts w:ascii="方正仿宋_GBK" w:eastAsia="方正仿宋_GBK"/>
          <w:sz w:val="32"/>
          <w:szCs w:val="32"/>
        </w:rPr>
        <w:t>指单位结转下年的基本支出结转、项目支出结转和结余、经营结余。</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w:t>
      </w:r>
      <w:r>
        <w:rPr>
          <w:rFonts w:ascii="方正仿宋_GBK" w:eastAsia="方正仿宋_GBK"/>
          <w:sz w:val="32"/>
          <w:szCs w:val="32"/>
        </w:rPr>
        <w:lastRenderedPageBreak/>
        <w:t>庭的补助”；公用经费指政府收支分类经济科目中除“工资福利支出”和“对个人和家庭的补助”外的其他支出。</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（十）项目支出：</w:t>
      </w:r>
      <w:r>
        <w:rPr>
          <w:rFonts w:ascii="方正仿宋_GBK" w:eastAsia="方正仿宋_GBK"/>
          <w:sz w:val="32"/>
          <w:szCs w:val="32"/>
        </w:rPr>
        <w:t>指在基本支出之外为完成特定行政任务和事业发展目标所发生的支出。</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（十一）经营支出：</w:t>
      </w:r>
      <w:r>
        <w:rPr>
          <w:rFonts w:ascii="方正仿宋_GBK" w:eastAsia="方正仿宋_GBK"/>
          <w:sz w:val="32"/>
          <w:szCs w:val="32"/>
        </w:rPr>
        <w:t>指事业单位在专业业务活动及其辅助活动之外开展非独立核算经营活动发生的支出。</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（十二）“三公”经费：</w:t>
      </w:r>
      <w:r>
        <w:rPr>
          <w:rFonts w:ascii="方正仿宋_GBK" w:eastAsia="方正仿宋_GBK"/>
          <w:sz w:val="32"/>
          <w:szCs w:val="32"/>
        </w:rPr>
        <w:t>指用一般公共预算财政拨款安排的因公出国（境）费、公务用车购置及运行维护费、公务</w:t>
      </w:r>
      <w:r>
        <w:rPr>
          <w:rFonts w:ascii="方正仿宋_GBK" w:eastAsia="方正仿宋_GBK"/>
          <w:sz w:val="32"/>
          <w:szCs w:val="32"/>
        </w:rPr>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w:t>
      </w:r>
      <w:r>
        <w:rPr>
          <w:rFonts w:ascii="方正仿宋_GBK" w:eastAsia="方正仿宋_GBK"/>
          <w:sz w:val="32"/>
          <w:szCs w:val="32"/>
        </w:rPr>
        <w:t>专用材料及一般设备购置费、办公用房水电费、办公用房取暖费、办公用房物业管理费、公务用车运行维护费以及其他费用。</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lastRenderedPageBreak/>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（十六）对个人和家庭的补助（支出经济分类科目类级）：</w:t>
      </w:r>
      <w:r>
        <w:rPr>
          <w:rFonts w:ascii="方正仿宋_GBK" w:eastAsia="方正仿宋_GBK"/>
          <w:sz w:val="32"/>
          <w:szCs w:val="32"/>
        </w:rPr>
        <w:t>反映用于对个人和家庭的补助支出。</w:t>
      </w:r>
    </w:p>
    <w:p w:rsidR="005E562C" w:rsidRDefault="000942AC">
      <w:pPr>
        <w:spacing w:line="594" w:lineRule="exact"/>
        <w:ind w:firstLineChars="200" w:firstLine="640"/>
        <w:rPr>
          <w:rFonts w:ascii="方正仿宋_GBK" w:eastAsia="方正仿宋_GBK" w:hint="default"/>
          <w:sz w:val="32"/>
          <w:szCs w:val="32"/>
        </w:rPr>
      </w:pPr>
      <w:r>
        <w:rPr>
          <w:rFonts w:ascii="方正楷体_GBK" w:eastAsia="方正楷体_GBK" w:hAnsiTheme="minorHAnsi" w:cstheme="minorBidi"/>
          <w:kern w:val="2"/>
          <w:sz w:val="32"/>
          <w:szCs w:val="32"/>
        </w:rPr>
        <w:t>（十七）其他资本性支出（支出经济分类</w:t>
      </w:r>
      <w:r>
        <w:rPr>
          <w:rFonts w:ascii="方正楷体_GBK" w:eastAsia="方正楷体_GBK" w:hAnsiTheme="minorHAnsi" w:cstheme="minorBidi"/>
          <w:kern w:val="2"/>
          <w:sz w:val="32"/>
          <w:szCs w:val="32"/>
        </w:rPr>
        <w:t>科目类级）：</w:t>
      </w:r>
      <w:r>
        <w:rPr>
          <w:rFonts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七、决算公开联系方式及信息反馈渠道</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本单位决算公开信息反馈和联系方式：</w:t>
      </w:r>
    </w:p>
    <w:p w:rsidR="005E562C" w:rsidRDefault="000942AC">
      <w:pPr>
        <w:spacing w:line="594" w:lineRule="exact"/>
        <w:ind w:firstLineChars="200" w:firstLine="640"/>
        <w:rPr>
          <w:rFonts w:ascii="方正仿宋_GBK" w:eastAsia="方正仿宋_GBK" w:hint="default"/>
          <w:sz w:val="32"/>
          <w:szCs w:val="32"/>
        </w:rPr>
      </w:pPr>
      <w:r>
        <w:rPr>
          <w:rFonts w:ascii="方正仿宋_GBK" w:eastAsia="方正仿宋_GBK"/>
          <w:sz w:val="32"/>
          <w:szCs w:val="32"/>
        </w:rPr>
        <w:t>曾姣</w:t>
      </w:r>
      <w:r>
        <w:rPr>
          <w:rFonts w:ascii="方正仿宋_GBK" w:eastAsia="方正仿宋_GBK"/>
          <w:sz w:val="32"/>
          <w:szCs w:val="32"/>
        </w:rPr>
        <w:t>  </w:t>
      </w:r>
      <w:r>
        <w:rPr>
          <w:rFonts w:ascii="方正仿宋_GBK" w:eastAsia="方正仿宋_GBK"/>
          <w:sz w:val="32"/>
          <w:szCs w:val="32"/>
        </w:rPr>
        <w:t xml:space="preserve"> 023-57857002</w:t>
      </w:r>
    </w:p>
    <w:p w:rsidR="005E562C" w:rsidRDefault="005E562C">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5E562C">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tblPr>
      <w:tblGrid>
        <w:gridCol w:w="4294"/>
        <w:gridCol w:w="3558"/>
        <w:gridCol w:w="4044"/>
        <w:gridCol w:w="2841"/>
      </w:tblGrid>
      <w:tr w:rsidR="005E562C">
        <w:trPr>
          <w:trHeight w:val="232"/>
        </w:trPr>
        <w:tc>
          <w:tcPr>
            <w:tcW w:w="14737" w:type="dxa"/>
            <w:gridSpan w:val="4"/>
            <w:tcBorders>
              <w:top w:val="nil"/>
              <w:left w:val="nil"/>
              <w:bottom w:val="nil"/>
              <w:right w:val="nil"/>
            </w:tcBorders>
            <w:shd w:val="clear" w:color="auto" w:fill="auto"/>
            <w:tcMar>
              <w:top w:w="15" w:type="dxa"/>
              <w:left w:w="15" w:type="dxa"/>
              <w:right w:w="15" w:type="dxa"/>
            </w:tcMar>
            <w:vAlign w:val="bottom"/>
          </w:tcPr>
          <w:p w:rsidR="005E562C" w:rsidRDefault="000942A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E562C">
        <w:trPr>
          <w:trHeight w:val="232"/>
        </w:trPr>
        <w:tc>
          <w:tcPr>
            <w:tcW w:w="42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E562C">
        <w:trPr>
          <w:trHeight w:val="232"/>
        </w:trPr>
        <w:tc>
          <w:tcPr>
            <w:tcW w:w="7852" w:type="dxa"/>
            <w:gridSpan w:val="2"/>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rPr>
                <w:rFonts w:ascii="Arial" w:hAnsi="Arial" w:cs="Arial" w:hint="default"/>
                <w:color w:val="000000"/>
                <w:sz w:val="22"/>
                <w:szCs w:val="22"/>
              </w:rPr>
            </w:pPr>
            <w:r>
              <w:rPr>
                <w:rFonts w:cs="宋体"/>
                <w:sz w:val="20"/>
                <w:szCs w:val="20"/>
              </w:rPr>
              <w:t>单位：</w:t>
            </w:r>
            <w:r>
              <w:rPr>
                <w:sz w:val="20"/>
              </w:rPr>
              <w:t>巫山县当阳乡人民政府（本级）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1,408.53</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411.64</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20.67</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96.02</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34.14</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34.84</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15.05</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739.32</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90"/>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31.53</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46.74</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5.63</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1,429.20</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1,429.20</w:t>
            </w: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20"/>
                <w:szCs w:val="20"/>
              </w:rPr>
            </w:pPr>
          </w:p>
        </w:tc>
      </w:tr>
      <w:tr w:rsidR="005E562C">
        <w:trPr>
          <w:trHeight w:val="25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1,429.20</w:t>
            </w:r>
          </w:p>
        </w:tc>
        <w:tc>
          <w:tcPr>
            <w:tcW w:w="4044"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5E562C" w:rsidRDefault="000942A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1,429.20</w:t>
            </w:r>
          </w:p>
        </w:tc>
      </w:tr>
    </w:tbl>
    <w:p w:rsidR="005E562C" w:rsidRDefault="005E562C">
      <w:pPr>
        <w:rPr>
          <w:rFonts w:cs="宋体" w:hint="default"/>
          <w:sz w:val="21"/>
          <w:szCs w:val="21"/>
        </w:rPr>
      </w:pPr>
    </w:p>
    <w:p w:rsidR="005E562C" w:rsidRDefault="000942A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tblPr>
      <w:tblGrid>
        <w:gridCol w:w="1430"/>
        <w:gridCol w:w="2919"/>
        <w:gridCol w:w="1582"/>
        <w:gridCol w:w="1451"/>
        <w:gridCol w:w="1256"/>
        <w:gridCol w:w="1438"/>
        <w:gridCol w:w="1459"/>
        <w:gridCol w:w="1296"/>
        <w:gridCol w:w="1350"/>
        <w:gridCol w:w="1322"/>
      </w:tblGrid>
      <w:tr w:rsidR="005E562C">
        <w:trPr>
          <w:trHeight w:val="641"/>
        </w:trPr>
        <w:tc>
          <w:tcPr>
            <w:tcW w:w="15503" w:type="dxa"/>
            <w:gridSpan w:val="10"/>
            <w:tcBorders>
              <w:top w:val="nil"/>
              <w:left w:val="nil"/>
              <w:bottom w:val="nil"/>
              <w:right w:val="nil"/>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E562C">
        <w:trPr>
          <w:trHeight w:val="328"/>
        </w:trPr>
        <w:tc>
          <w:tcPr>
            <w:tcW w:w="5931" w:type="dxa"/>
            <w:gridSpan w:val="3"/>
            <w:vMerge w:val="restart"/>
            <w:tcBorders>
              <w:top w:val="nil"/>
              <w:left w:val="nil"/>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sz w:val="20"/>
                <w:szCs w:val="20"/>
              </w:rPr>
            </w:pPr>
            <w:r>
              <w:rPr>
                <w:rFonts w:cs="宋体"/>
                <w:sz w:val="20"/>
                <w:szCs w:val="20"/>
              </w:rPr>
              <w:t>单位：</w:t>
            </w:r>
            <w:r>
              <w:rPr>
                <w:sz w:val="20"/>
              </w:rPr>
              <w:t>巫山县当阳乡人民政府（本级）</w:t>
            </w:r>
          </w:p>
        </w:tc>
        <w:tc>
          <w:tcPr>
            <w:tcW w:w="145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E562C">
        <w:trPr>
          <w:trHeight w:val="328"/>
        </w:trPr>
        <w:tc>
          <w:tcPr>
            <w:tcW w:w="5931" w:type="dxa"/>
            <w:gridSpan w:val="3"/>
            <w:vMerge/>
            <w:tcBorders>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431"/>
        </w:trPr>
        <w:tc>
          <w:tcPr>
            <w:tcW w:w="4349"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20"/>
                <w:szCs w:val="20"/>
              </w:rPr>
            </w:pPr>
            <w:r>
              <w:rPr>
                <w:rFonts w:cs="宋体"/>
                <w:b/>
                <w:color w:val="000000"/>
                <w:sz w:val="20"/>
                <w:szCs w:val="20"/>
              </w:rPr>
              <w:t>项目</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本年收入合计</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上级补助收入</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20"/>
                <w:szCs w:val="20"/>
              </w:rPr>
            </w:pPr>
            <w:r>
              <w:rPr>
                <w:rFonts w:cs="宋体"/>
                <w:b/>
                <w:color w:val="000000"/>
                <w:sz w:val="20"/>
                <w:szCs w:val="20"/>
              </w:rPr>
              <w:t>事业收入</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经营收入</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附属单位上缴收入</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其他收入</w:t>
            </w:r>
          </w:p>
        </w:tc>
      </w:tr>
      <w:tr w:rsidR="005E562C">
        <w:trPr>
          <w:trHeight w:val="334"/>
        </w:trPr>
        <w:tc>
          <w:tcPr>
            <w:tcW w:w="143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小计</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其中：教育收费</w:t>
            </w: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4"/>
        </w:trPr>
        <w:tc>
          <w:tcPr>
            <w:tcW w:w="14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4"/>
        </w:trPr>
        <w:tc>
          <w:tcPr>
            <w:tcW w:w="14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4"/>
        </w:trPr>
        <w:tc>
          <w:tcPr>
            <w:tcW w:w="14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8"/>
        </w:trPr>
        <w:tc>
          <w:tcPr>
            <w:tcW w:w="434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158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1,429.20</w:t>
            </w:r>
          </w:p>
        </w:tc>
        <w:tc>
          <w:tcPr>
            <w:tcW w:w="14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1,429.20</w:t>
            </w:r>
          </w:p>
        </w:tc>
        <w:tc>
          <w:tcPr>
            <w:tcW w:w="12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4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4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9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一般公共服务支出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411.64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411.64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20103</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政府办公厅（室）及相关机构事务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408.29</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408.29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2010301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行政运行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343.70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343.70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2010399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其他政府办公厅（室）及相关机构事务支出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64.59</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64.59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20132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组织事务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2013299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其他组织事务支出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文化旅游体育与传媒支出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20701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文化和旅游</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2070199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其他文化和旅游支出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96.02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96.02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机关事业单位基本养老保险缴费支出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2080506</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机关事业单位职业年金缴费支出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20810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社会福利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2081002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老年福利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lastRenderedPageBreak/>
              <w:t>2081099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其他社会福利支出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20811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残疾人事业</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其他残疾人事业支出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20825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其他生活救助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2082501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其他城市生活救助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2089999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卫生健康支出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计划生育事务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2100717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计划生育服务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21011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行政事业单位医疗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2101101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行政单位医疗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其他行政事业单位医疗支出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21015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医疗保障管理事务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2101505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医疗保障政策管理</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节能环保支出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34.84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34.84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21104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自然生态保护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2110401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生态保护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2110402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农村环境保护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森林保护修复</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2110501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森林管护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城乡社区支出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21208</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2120814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农业生产发展支出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2120899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农林水支出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739.32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739.32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农业农村</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30.70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30.70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lastRenderedPageBreak/>
              <w:t>2130199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其他农业农村支出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30.70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30.70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林业和草原</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森林资源培育</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2130234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林业草原防灾减灾</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其他林业和草原支出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巩固脱贫攻坚成果衔接乡村振兴</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370.25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370.25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2130504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农村基础设施建设</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184.86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184.86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生产发展</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130.97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130.97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农村综合改革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306.10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306.10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2130701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对村级公益事业建设的补助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119.81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119.81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2130705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对村民委员会和村党支部的补助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186.28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186.28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交通运输支出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21401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公路水路运输</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2140106</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公路养护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自然资源海洋气象等支出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22001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自然资源事务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2200106</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自然资源利用与保护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住房保障支出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22102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住房改革支出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2210201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住房公积金</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灾害防治及应急管理支出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46.74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46.74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应急管理事务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其他应急管理支出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22406</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自然灾害防治</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2240601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地质灾害防治</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2240699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其他自然灾害防治支出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lastRenderedPageBreak/>
              <w:t>22407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自然灾害救灾及恢复重建支出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2240799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其他自然灾害救灾及恢复重建支出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22960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彩票公益金安排的支出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2296002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用于社会福利的彩票公益金支出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5E562C" w:rsidRDefault="000942AC">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5E562C" w:rsidRDefault="000942AC">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tblPr>
      <w:tblGrid>
        <w:gridCol w:w="1292"/>
        <w:gridCol w:w="3602"/>
        <w:gridCol w:w="1841"/>
        <w:gridCol w:w="1765"/>
        <w:gridCol w:w="1624"/>
        <w:gridCol w:w="1557"/>
        <w:gridCol w:w="1692"/>
        <w:gridCol w:w="1949"/>
      </w:tblGrid>
      <w:tr w:rsidR="005E562C">
        <w:trPr>
          <w:trHeight w:val="65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E562C">
        <w:trPr>
          <w:trHeight w:val="342"/>
        </w:trPr>
        <w:tc>
          <w:tcPr>
            <w:tcW w:w="6735" w:type="dxa"/>
            <w:gridSpan w:val="3"/>
            <w:vMerge w:val="restart"/>
            <w:tcBorders>
              <w:top w:val="nil"/>
              <w:left w:val="nil"/>
              <w:right w:val="nil"/>
            </w:tcBorders>
            <w:shd w:val="clear" w:color="auto" w:fill="auto"/>
            <w:tcMar>
              <w:top w:w="15" w:type="dxa"/>
              <w:left w:w="15" w:type="dxa"/>
              <w:right w:w="15" w:type="dxa"/>
            </w:tcMar>
            <w:vAlign w:val="bottom"/>
          </w:tcPr>
          <w:p w:rsidR="005E562C" w:rsidRDefault="000942A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巫山县当阳乡人民政府（本级）</w:t>
            </w:r>
          </w:p>
        </w:tc>
        <w:tc>
          <w:tcPr>
            <w:tcW w:w="1765"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E562C">
        <w:trPr>
          <w:trHeight w:val="342"/>
        </w:trPr>
        <w:tc>
          <w:tcPr>
            <w:tcW w:w="6735" w:type="dxa"/>
            <w:gridSpan w:val="3"/>
            <w:vMerge/>
            <w:tcBorders>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20"/>
                <w:szCs w:val="20"/>
              </w:rPr>
            </w:pPr>
            <w:r>
              <w:rPr>
                <w:rFonts w:cs="宋体"/>
                <w:b/>
                <w:color w:val="000000"/>
                <w:sz w:val="20"/>
                <w:szCs w:val="20"/>
              </w:rPr>
              <w:t>项目</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本年支出合计</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基本支出</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经营支出</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对附属单位补助支出</w:t>
            </w:r>
          </w:p>
        </w:tc>
      </w:tr>
      <w:tr w:rsidR="005E562C">
        <w:trPr>
          <w:trHeight w:val="338"/>
        </w:trPr>
        <w:tc>
          <w:tcPr>
            <w:tcW w:w="12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8"/>
        </w:trPr>
        <w:tc>
          <w:tcPr>
            <w:tcW w:w="12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8"/>
        </w:trPr>
        <w:tc>
          <w:tcPr>
            <w:tcW w:w="12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8"/>
        </w:trPr>
        <w:tc>
          <w:tcPr>
            <w:tcW w:w="12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1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1,429.20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473.70</w:t>
            </w:r>
          </w:p>
        </w:tc>
        <w:tc>
          <w:tcPr>
            <w:tcW w:w="16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955.50</w:t>
            </w:r>
          </w:p>
        </w:tc>
        <w:tc>
          <w:tcPr>
            <w:tcW w:w="15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9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一般公共服务支出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411.64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343.70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67.94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20103</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政府办公厅（室）及相关机构事务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408.29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343.70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64.59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2010301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行政运行</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343.70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343.70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2010399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其他政府办公厅（室）及相关机构事务支出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64.59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64.59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20132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组织事务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2013299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其他组织事务支出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文化旅游体育与传媒支出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20701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文化和旅游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2070199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其他文化和旅游支出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96.02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24.82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机关事业单位基本养老保险缴费支出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2080506</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机关事业单位职业年金缴费支出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10.31</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20810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社会福利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2081002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老年福利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lastRenderedPageBreak/>
              <w:t>2081099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其他社会福利支出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20811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残疾人事业</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其他残疾人事业支出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20825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其他生活救助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2082501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其他城市生活救助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2089999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卫生健康支出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计划生育事务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2100717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计划生育服务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21011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行政事业单位医疗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2101101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行政单位医疗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其他行政事业单位医疗支出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21015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医疗保障管理事务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2101505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医疗保障政策管理</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节能环保支出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34.84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34.84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21104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自然生态保护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2110401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生态保护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2110402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农村环境保护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森林保护修复</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2110501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森林管护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城乡社区支出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21208</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2120814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农业生产发展支出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2120899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lastRenderedPageBreak/>
              <w:t>213</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农林水支出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739.32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739.32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农业农村</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30.70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30.70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其他农业农村支出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30.70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30.70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林业和草原</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森林资源培育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2130234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林业草原防灾减灾</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其他林业和草原支出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巩固脱贫攻坚成果衔接乡村振兴</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370.25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2130504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农村基础设施建设</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184.86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184.86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生产发展</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130.97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130.97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农村综合改革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306.10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306.10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2130701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对村级公益事业建设的补助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119.81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119.81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2130705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对村民委员会和村党支部的补助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186.28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186.28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交通运输支出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21401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公路水路运输</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2140106</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公路养护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自然资源海洋气象等支出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22001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自然资源事务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2200106</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自然资源利用与保护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住房保障支出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22102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住房改革支出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2210201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住房公积金</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灾害防治及应急管理支出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46.74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46.74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应急管理事务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lastRenderedPageBreak/>
              <w:t>2240199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其他应急管理支出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22406</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自然灾害防治</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2240601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地质灾害防治</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2240699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其他自然灾害防治支出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自然灾害救灾及恢复重建支出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2240799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其他自然灾害救灾及恢复重建支出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22960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彩票公益金安排的支出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5E562C">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2296002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用于社会福利的彩票公益金支出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5E562C" w:rsidRDefault="000942AC">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E562C" w:rsidRDefault="000942AC">
      <w:pPr>
        <w:rPr>
          <w:rFonts w:cs="宋体" w:hint="default"/>
          <w:sz w:val="21"/>
          <w:szCs w:val="21"/>
        </w:rPr>
      </w:pPr>
      <w:r>
        <w:rPr>
          <w:rFonts w:cs="宋体"/>
          <w:sz w:val="21"/>
          <w:szCs w:val="21"/>
        </w:rPr>
        <w:br w:type="page"/>
      </w:r>
    </w:p>
    <w:p w:rsidR="005E562C" w:rsidRDefault="005E562C">
      <w:pPr>
        <w:rPr>
          <w:rFonts w:cs="宋体"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5E562C">
        <w:trPr>
          <w:trHeight w:val="90"/>
        </w:trPr>
        <w:tc>
          <w:tcPr>
            <w:tcW w:w="14678" w:type="dxa"/>
            <w:gridSpan w:val="7"/>
            <w:tcBorders>
              <w:top w:val="nil"/>
              <w:left w:val="nil"/>
              <w:bottom w:val="nil"/>
              <w:right w:val="nil"/>
            </w:tcBorders>
            <w:shd w:val="clear" w:color="auto" w:fill="auto"/>
            <w:tcMar>
              <w:top w:w="15" w:type="dxa"/>
              <w:left w:w="15" w:type="dxa"/>
              <w:right w:w="15" w:type="dxa"/>
            </w:tcMar>
            <w:vAlign w:val="bottom"/>
          </w:tcPr>
          <w:p w:rsidR="005E562C" w:rsidRDefault="000942A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E562C">
        <w:trPr>
          <w:trHeight w:val="90"/>
        </w:trPr>
        <w:tc>
          <w:tcPr>
            <w:tcW w:w="7667" w:type="dxa"/>
            <w:gridSpan w:val="3"/>
            <w:vMerge w:val="restart"/>
            <w:tcBorders>
              <w:top w:val="nil"/>
              <w:left w:val="nil"/>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巫山县当阳乡人民政府（本级）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E562C">
        <w:trPr>
          <w:trHeight w:val="90"/>
        </w:trPr>
        <w:tc>
          <w:tcPr>
            <w:tcW w:w="7667" w:type="dxa"/>
            <w:gridSpan w:val="3"/>
            <w:vMerge/>
            <w:tcBorders>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5E562C">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E562C">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1,408.53</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411.64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411.64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20.67</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96.02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96.02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34.14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34.14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34.84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34.84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15.05</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739.32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739.32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46.74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46.74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1,429.20</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1,429.20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1,408.53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20.67</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200" w:lineRule="exact"/>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200" w:lineRule="exact"/>
              <w:jc w:val="right"/>
              <w:rPr>
                <w:rFonts w:ascii="Times New Roman" w:hAnsi="Times New Roman" w:hint="default"/>
                <w:color w:val="000000"/>
                <w:sz w:val="18"/>
                <w:szCs w:val="18"/>
              </w:rPr>
            </w:pPr>
          </w:p>
        </w:tc>
      </w:tr>
      <w:tr w:rsidR="005E562C">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1,429.20</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1,429.20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1,408.53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20.67</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wordWrap w:val="0"/>
              <w:spacing w:line="200" w:lineRule="exact"/>
              <w:jc w:val="right"/>
              <w:textAlignment w:val="center"/>
              <w:rPr>
                <w:rFonts w:ascii="Times New Roman" w:hAnsi="Times New Roman" w:hint="default"/>
                <w:color w:val="000000"/>
                <w:sz w:val="18"/>
                <w:szCs w:val="18"/>
              </w:rPr>
            </w:pPr>
          </w:p>
        </w:tc>
      </w:tr>
    </w:tbl>
    <w:p w:rsidR="005E562C" w:rsidRDefault="000942A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305"/>
        <w:gridCol w:w="4073"/>
        <w:gridCol w:w="3306"/>
        <w:gridCol w:w="3297"/>
        <w:gridCol w:w="3341"/>
      </w:tblGrid>
      <w:tr w:rsidR="005E562C">
        <w:trPr>
          <w:trHeight w:val="510"/>
        </w:trPr>
        <w:tc>
          <w:tcPr>
            <w:tcW w:w="15322" w:type="dxa"/>
            <w:gridSpan w:val="5"/>
            <w:tcBorders>
              <w:top w:val="nil"/>
              <w:left w:val="nil"/>
              <w:bottom w:val="nil"/>
              <w:right w:val="nil"/>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E562C">
        <w:trPr>
          <w:trHeight w:val="255"/>
        </w:trPr>
        <w:tc>
          <w:tcPr>
            <w:tcW w:w="8684" w:type="dxa"/>
            <w:gridSpan w:val="3"/>
            <w:vMerge w:val="restart"/>
            <w:tcBorders>
              <w:top w:val="nil"/>
              <w:left w:val="nil"/>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巫山县当阳乡人民政府（本级）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E562C">
        <w:trPr>
          <w:trHeight w:val="285"/>
        </w:trPr>
        <w:tc>
          <w:tcPr>
            <w:tcW w:w="8684" w:type="dxa"/>
            <w:gridSpan w:val="3"/>
            <w:vMerge/>
            <w:tcBorders>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本年支出</w:t>
            </w:r>
          </w:p>
        </w:tc>
      </w:tr>
      <w:tr w:rsidR="005E562C">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项目支出</w:t>
            </w:r>
          </w:p>
        </w:tc>
      </w:tr>
      <w:tr w:rsidR="005E562C">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1,408.53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473.70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934.83</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411.64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343.70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67.94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20103</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408.29</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343.70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64.59</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2010301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343.70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343.70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2010399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64.59</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64.59</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20132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组织事务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2013299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其他组织事务支出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4.91</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20701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文化和旅游</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4.91</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2070199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4.91</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96.02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24.82</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37.24</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23.65</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10.31</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20810</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社会福利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13.46</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2081002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老年福利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11.22</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2081099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其他社会福利支出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20811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2081199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其他残疾人事业支出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0.96</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20825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其他生活救助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2082501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其他城市生活救助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lastRenderedPageBreak/>
              <w:t>20899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其他社会保障和就业支出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2089999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34.14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27.27</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计划生育事务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0.42</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2100717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计划生育服务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0.42</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27.27</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2101101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23.27</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21015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医疗保障管理事务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2101505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医疗保障政策管理</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节能环保支出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34.84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34.84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21104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自然生态保护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2110401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生态保护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2110402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农村环境保护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21105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森林保护修复</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2110501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森林管护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农林水支出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739.32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739.32</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农业农村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30.70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30.70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30.70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30.70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林业和草原</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32.27</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森林资源培育</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2130234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林业草原防灾减灾</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2130299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其他林业和草原支出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14.07</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370.25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370.25</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2130504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农村基础设施建设</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184.86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184.86</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生产发展</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54.42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54.42</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2130599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130.97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130.97</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21307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农村综合改革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306.10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306.10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2130701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对村级公益事业建设的补助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119.81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119.81</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2130705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对村民委员会和村党支部的补助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186.28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186.28</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214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交通运输支出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7.93</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lastRenderedPageBreak/>
              <w:t>21401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公路水路运输</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7.93</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2140106</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公路养护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7.93</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220</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自然资源海洋气象等支出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22001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自然资源事务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2200106</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自然资源利用与保护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46.74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46.74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应急管理事务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21.80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21.80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其他应急管理支出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21.80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21.80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22406</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自然灾害防治</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2240601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地质灾害防治</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2240699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其他自然灾害防治支出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22407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b/>
                <w:color w:val="000000"/>
                <w:sz w:val="20"/>
                <w:szCs w:val="20"/>
              </w:rPr>
              <w:t>自然灾害救灾及恢复重建支出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19.74</w:t>
            </w:r>
          </w:p>
        </w:tc>
      </w:tr>
      <w:tr w:rsidR="005E562C">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2240799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textAlignment w:val="center"/>
              <w:rPr>
                <w:rFonts w:cs="宋体" w:hint="default"/>
                <w:color w:val="000000"/>
                <w:sz w:val="20"/>
                <w:szCs w:val="20"/>
              </w:rPr>
            </w:pPr>
            <w:r>
              <w:rPr>
                <w:rFonts w:cs="宋体"/>
                <w:color w:val="000000"/>
                <w:sz w:val="20"/>
                <w:szCs w:val="20"/>
              </w:rPr>
              <w:t>其他自然灾害救灾及恢复重建支出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19.74</w:t>
            </w:r>
          </w:p>
        </w:tc>
      </w:tr>
    </w:tbl>
    <w:p w:rsidR="005E562C" w:rsidRDefault="000942AC">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E562C" w:rsidRDefault="000942AC">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tblPr>
      <w:tblGrid>
        <w:gridCol w:w="803"/>
        <w:gridCol w:w="2809"/>
        <w:gridCol w:w="1541"/>
        <w:gridCol w:w="873"/>
        <w:gridCol w:w="2032"/>
        <w:gridCol w:w="1418"/>
        <w:gridCol w:w="873"/>
        <w:gridCol w:w="3463"/>
        <w:gridCol w:w="1492"/>
      </w:tblGrid>
      <w:tr w:rsidR="005E562C">
        <w:trPr>
          <w:trHeight w:val="90"/>
        </w:trPr>
        <w:tc>
          <w:tcPr>
            <w:tcW w:w="15304" w:type="dxa"/>
            <w:gridSpan w:val="9"/>
            <w:tcBorders>
              <w:top w:val="nil"/>
              <w:left w:val="nil"/>
              <w:bottom w:val="nil"/>
              <w:right w:val="nil"/>
            </w:tcBorders>
            <w:shd w:val="clear" w:color="auto" w:fill="auto"/>
            <w:tcMar>
              <w:top w:w="15" w:type="dxa"/>
              <w:left w:w="15" w:type="dxa"/>
              <w:right w:w="15" w:type="dxa"/>
            </w:tcMar>
            <w:vAlign w:val="bottom"/>
          </w:tcPr>
          <w:p w:rsidR="005E562C" w:rsidRDefault="000942A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E562C">
        <w:trPr>
          <w:trHeight w:val="334"/>
        </w:trPr>
        <w:tc>
          <w:tcPr>
            <w:tcW w:w="8058" w:type="dxa"/>
            <w:gridSpan w:val="5"/>
            <w:vMerge w:val="restart"/>
            <w:tcBorders>
              <w:top w:val="nil"/>
              <w:left w:val="nil"/>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巫山县当阳乡人民政府（本级）</w:t>
            </w:r>
          </w:p>
        </w:tc>
        <w:tc>
          <w:tcPr>
            <w:tcW w:w="1418"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E562C">
        <w:trPr>
          <w:trHeight w:val="520"/>
        </w:trPr>
        <w:tc>
          <w:tcPr>
            <w:tcW w:w="8058" w:type="dxa"/>
            <w:gridSpan w:val="5"/>
            <w:vMerge/>
            <w:tcBorders>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rsidR="005E562C" w:rsidRDefault="005E562C">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90"/>
        </w:trPr>
        <w:tc>
          <w:tcPr>
            <w:tcW w:w="515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1"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E562C">
        <w:trPr>
          <w:trHeight w:val="312"/>
        </w:trPr>
        <w:tc>
          <w:tcPr>
            <w:tcW w:w="8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E562C">
        <w:trPr>
          <w:trHeight w:val="312"/>
        </w:trPr>
        <w:tc>
          <w:tcPr>
            <w:tcW w:w="8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28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15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14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center"/>
              <w:rPr>
                <w:rFonts w:cs="宋体" w:hint="default"/>
                <w:b/>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398.59</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79.30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79.63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31003</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30106</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31005</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30107</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31006</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30108</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37.24</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31007</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30109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23.65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31008</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30110</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31009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30111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31010</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30112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31011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30113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31012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30114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31013</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30199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31019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31021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31022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31099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31201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30305</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31203</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30306</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31204</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30307</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31205</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30308</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31206</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30309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31299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30310</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30311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39907</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30399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39908</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6.58</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39909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39910</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39999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rPr>
                <w:rFonts w:ascii="Times New Roman" w:hAnsi="Times New Roman" w:hint="default"/>
                <w:color w:val="000000"/>
                <w:sz w:val="18"/>
                <w:szCs w:val="18"/>
              </w:rPr>
            </w:pPr>
          </w:p>
        </w:tc>
      </w:tr>
      <w:tr w:rsidR="005E562C">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rPr>
                <w:rFonts w:ascii="Times New Roman" w:hAnsi="Times New Roman" w:hint="default"/>
                <w:color w:val="000000"/>
                <w:sz w:val="18"/>
                <w:szCs w:val="18"/>
              </w:rPr>
            </w:pPr>
          </w:p>
        </w:tc>
      </w:tr>
      <w:tr w:rsidR="005E562C">
        <w:trPr>
          <w:trHeight w:val="155"/>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5E562C">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spacing w:line="192" w:lineRule="exact"/>
              <w:jc w:val="right"/>
              <w:rPr>
                <w:rFonts w:ascii="Times New Roman" w:hAnsi="Times New Roman" w:hint="default"/>
                <w:color w:val="000000"/>
                <w:sz w:val="18"/>
                <w:szCs w:val="18"/>
              </w:rPr>
            </w:pPr>
          </w:p>
        </w:tc>
      </w:tr>
      <w:tr w:rsidR="005E562C">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0942A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411.79</w:t>
            </w:r>
          </w:p>
        </w:tc>
        <w:tc>
          <w:tcPr>
            <w:tcW w:w="8659"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61.91</w:t>
            </w:r>
          </w:p>
        </w:tc>
      </w:tr>
    </w:tbl>
    <w:p w:rsidR="005E562C" w:rsidRDefault="000942AC">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tblPr>
      <w:tblGrid>
        <w:gridCol w:w="1320"/>
        <w:gridCol w:w="3594"/>
        <w:gridCol w:w="1701"/>
        <w:gridCol w:w="1701"/>
        <w:gridCol w:w="1701"/>
        <w:gridCol w:w="1701"/>
        <w:gridCol w:w="1765"/>
        <w:gridCol w:w="1839"/>
      </w:tblGrid>
      <w:tr w:rsidR="005E562C">
        <w:trPr>
          <w:trHeight w:val="64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5E562C">
        <w:trPr>
          <w:trHeight w:val="329"/>
        </w:trPr>
        <w:tc>
          <w:tcPr>
            <w:tcW w:w="6615" w:type="dxa"/>
            <w:gridSpan w:val="3"/>
            <w:vMerge w:val="restart"/>
            <w:tcBorders>
              <w:top w:val="nil"/>
              <w:left w:val="nil"/>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巫山县当阳乡人民政府（本级）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E562C">
        <w:trPr>
          <w:trHeight w:val="329"/>
        </w:trPr>
        <w:tc>
          <w:tcPr>
            <w:tcW w:w="6615" w:type="dxa"/>
            <w:gridSpan w:val="3"/>
            <w:vMerge/>
            <w:tcBorders>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年末结转和结余</w:t>
            </w:r>
          </w:p>
        </w:tc>
      </w:tr>
      <w:tr w:rsidR="005E562C">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20.67</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20.67</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20.67</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212</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15.05</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15.05</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15.05</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21208</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15.05</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15.05</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15.05</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color w:val="000000"/>
                <w:sz w:val="20"/>
                <w:szCs w:val="20"/>
              </w:rPr>
              <w:t>2120814</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color w:val="000000"/>
                <w:sz w:val="20"/>
                <w:szCs w:val="20"/>
              </w:rPr>
              <w:t>农业生产发展支出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5.05</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5.05</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5.05</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color w:val="000000"/>
                <w:sz w:val="20"/>
                <w:szCs w:val="20"/>
              </w:rPr>
              <w:t>2120899</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5E562C">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color w:val="000000"/>
                <w:sz w:val="20"/>
                <w:szCs w:val="20"/>
              </w:rPr>
              <w:t>2296002</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both"/>
              <w:textAlignment w:val="center"/>
              <w:rPr>
                <w:rFonts w:cs="宋体" w:hint="default"/>
                <w:color w:val="000000"/>
                <w:sz w:val="20"/>
                <w:szCs w:val="20"/>
              </w:rPr>
            </w:pPr>
            <w:r>
              <w:rPr>
                <w:rFonts w:cs="宋体"/>
                <w:color w:val="000000"/>
                <w:sz w:val="20"/>
                <w:szCs w:val="20"/>
              </w:rPr>
              <w:t>用于社会福利的彩票公益金支出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5.63</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5.63</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5.63</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5E562C" w:rsidRDefault="000942AC">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E562C" w:rsidRDefault="000942AC">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tblPr>
      <w:tblGrid>
        <w:gridCol w:w="1293"/>
        <w:gridCol w:w="3616"/>
        <w:gridCol w:w="3273"/>
        <w:gridCol w:w="190"/>
        <w:gridCol w:w="3463"/>
        <w:gridCol w:w="86"/>
        <w:gridCol w:w="3401"/>
      </w:tblGrid>
      <w:tr w:rsidR="005E562C">
        <w:trPr>
          <w:trHeight w:val="650"/>
        </w:trPr>
        <w:tc>
          <w:tcPr>
            <w:tcW w:w="15322" w:type="dxa"/>
            <w:gridSpan w:val="7"/>
            <w:tcBorders>
              <w:top w:val="nil"/>
              <w:left w:val="nil"/>
              <w:bottom w:val="nil"/>
              <w:right w:val="nil"/>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E562C">
        <w:trPr>
          <w:trHeight w:val="332"/>
        </w:trPr>
        <w:tc>
          <w:tcPr>
            <w:tcW w:w="8182" w:type="dxa"/>
            <w:gridSpan w:val="3"/>
            <w:vMerge w:val="restart"/>
            <w:tcBorders>
              <w:top w:val="nil"/>
              <w:left w:val="nil"/>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巫山县当阳乡人民政府（本级）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E562C">
        <w:trPr>
          <w:trHeight w:val="332"/>
        </w:trPr>
        <w:tc>
          <w:tcPr>
            <w:tcW w:w="8182" w:type="dxa"/>
            <w:gridSpan w:val="3"/>
            <w:vMerge/>
            <w:tcBorders>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5E562C" w:rsidRDefault="005E562C">
            <w:pPr>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E562C">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E562C" w:rsidRDefault="000942AC">
            <w:pPr>
              <w:jc w:val="center"/>
              <w:textAlignment w:val="bottom"/>
              <w:rPr>
                <w:rFonts w:cs="宋体" w:hint="default"/>
                <w:b/>
                <w:color w:val="000000"/>
                <w:sz w:val="20"/>
                <w:szCs w:val="20"/>
              </w:rPr>
            </w:pPr>
            <w:r>
              <w:rPr>
                <w:rFonts w:cs="宋体"/>
                <w:b/>
                <w:color w:val="000000"/>
                <w:sz w:val="20"/>
                <w:szCs w:val="20"/>
              </w:rPr>
              <w:t>本年支出</w:t>
            </w:r>
          </w:p>
        </w:tc>
      </w:tr>
      <w:tr w:rsidR="005E562C">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项目支出</w:t>
            </w:r>
          </w:p>
        </w:tc>
      </w:tr>
      <w:tr w:rsidR="005E562C">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center"/>
              <w:rPr>
                <w:rFonts w:cs="宋体" w:hint="default"/>
                <w:b/>
                <w:color w:val="000000"/>
                <w:sz w:val="20"/>
                <w:szCs w:val="20"/>
              </w:rPr>
            </w:pPr>
          </w:p>
        </w:tc>
      </w:tr>
      <w:tr w:rsidR="005E562C">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5E562C">
        <w:trPr>
          <w:trHeight w:val="488"/>
        </w:trPr>
        <w:tc>
          <w:tcPr>
            <w:tcW w:w="129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5E562C">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E562C" w:rsidRDefault="000942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5E562C" w:rsidRDefault="000942A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E562C" w:rsidRDefault="000942AC">
      <w:pPr>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tblPr>
      <w:tblGrid>
        <w:gridCol w:w="3179"/>
        <w:gridCol w:w="2416"/>
        <w:gridCol w:w="2375"/>
        <w:gridCol w:w="3674"/>
        <w:gridCol w:w="2487"/>
      </w:tblGrid>
      <w:tr w:rsidR="005E562C">
        <w:trPr>
          <w:trHeight w:val="343"/>
        </w:trPr>
        <w:tc>
          <w:tcPr>
            <w:tcW w:w="14131" w:type="dxa"/>
            <w:gridSpan w:val="5"/>
            <w:shd w:val="clear" w:color="auto" w:fill="auto"/>
            <w:tcMar>
              <w:top w:w="15" w:type="dxa"/>
              <w:left w:w="15" w:type="dxa"/>
              <w:right w:w="15" w:type="dxa"/>
            </w:tcMar>
            <w:vAlign w:val="bottom"/>
          </w:tcPr>
          <w:p w:rsidR="005E562C" w:rsidRDefault="000942A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E562C">
        <w:trPr>
          <w:trHeight w:val="244"/>
        </w:trPr>
        <w:tc>
          <w:tcPr>
            <w:tcW w:w="3179" w:type="dxa"/>
            <w:shd w:val="clear" w:color="auto" w:fill="auto"/>
            <w:tcMar>
              <w:top w:w="15" w:type="dxa"/>
              <w:left w:w="15" w:type="dxa"/>
              <w:right w:w="15" w:type="dxa"/>
            </w:tcMar>
            <w:vAlign w:val="bottom"/>
          </w:tcPr>
          <w:p w:rsidR="005E562C" w:rsidRDefault="005E562C">
            <w:pPr>
              <w:spacing w:line="280" w:lineRule="exact"/>
              <w:rPr>
                <w:rFonts w:cs="宋体" w:hint="default"/>
                <w:color w:val="000000"/>
                <w:kern w:val="2"/>
                <w:sz w:val="20"/>
                <w:szCs w:val="20"/>
              </w:rPr>
            </w:pPr>
          </w:p>
        </w:tc>
        <w:tc>
          <w:tcPr>
            <w:tcW w:w="2416" w:type="dxa"/>
            <w:shd w:val="clear" w:color="auto" w:fill="auto"/>
            <w:tcMar>
              <w:top w:w="15" w:type="dxa"/>
              <w:left w:w="15" w:type="dxa"/>
              <w:right w:w="15" w:type="dxa"/>
            </w:tcMar>
            <w:vAlign w:val="bottom"/>
          </w:tcPr>
          <w:p w:rsidR="005E562C" w:rsidRDefault="005E562C">
            <w:pPr>
              <w:spacing w:line="280" w:lineRule="exact"/>
              <w:jc w:val="center"/>
              <w:rPr>
                <w:rFonts w:cs="宋体" w:hint="default"/>
                <w:color w:val="000000"/>
                <w:kern w:val="2"/>
                <w:sz w:val="20"/>
                <w:szCs w:val="20"/>
              </w:rPr>
            </w:pPr>
          </w:p>
        </w:tc>
        <w:tc>
          <w:tcPr>
            <w:tcW w:w="2375" w:type="dxa"/>
            <w:shd w:val="clear" w:color="auto" w:fill="auto"/>
            <w:tcMar>
              <w:top w:w="15" w:type="dxa"/>
              <w:left w:w="15" w:type="dxa"/>
              <w:right w:w="15" w:type="dxa"/>
            </w:tcMar>
            <w:vAlign w:val="bottom"/>
          </w:tcPr>
          <w:p w:rsidR="005E562C" w:rsidRDefault="005E562C">
            <w:pPr>
              <w:spacing w:line="280" w:lineRule="exact"/>
              <w:jc w:val="right"/>
              <w:rPr>
                <w:rFonts w:cs="宋体" w:hint="default"/>
                <w:color w:val="000000"/>
                <w:kern w:val="2"/>
                <w:sz w:val="20"/>
                <w:szCs w:val="20"/>
              </w:rPr>
            </w:pPr>
          </w:p>
        </w:tc>
        <w:tc>
          <w:tcPr>
            <w:tcW w:w="3674" w:type="dxa"/>
            <w:shd w:val="clear" w:color="auto" w:fill="auto"/>
            <w:tcMar>
              <w:top w:w="15" w:type="dxa"/>
              <w:left w:w="15" w:type="dxa"/>
              <w:right w:w="15" w:type="dxa"/>
            </w:tcMar>
            <w:vAlign w:val="bottom"/>
          </w:tcPr>
          <w:p w:rsidR="005E562C" w:rsidRDefault="005E562C">
            <w:pPr>
              <w:spacing w:line="280" w:lineRule="exact"/>
              <w:rPr>
                <w:rFonts w:cs="宋体" w:hint="default"/>
                <w:color w:val="000000"/>
                <w:kern w:val="2"/>
                <w:sz w:val="20"/>
                <w:szCs w:val="20"/>
              </w:rPr>
            </w:pPr>
          </w:p>
        </w:tc>
        <w:tc>
          <w:tcPr>
            <w:tcW w:w="2487" w:type="dxa"/>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E562C">
        <w:trPr>
          <w:trHeight w:val="244"/>
        </w:trPr>
        <w:tc>
          <w:tcPr>
            <w:tcW w:w="5595" w:type="dxa"/>
            <w:gridSpan w:val="2"/>
            <w:tcBorders>
              <w:top w:val="nil"/>
              <w:left w:val="nil"/>
              <w:bottom w:val="single" w:sz="4" w:space="0" w:color="auto"/>
              <w:right w:val="nil"/>
            </w:tcBorders>
            <w:shd w:val="clear" w:color="auto" w:fill="auto"/>
            <w:tcMar>
              <w:top w:w="15" w:type="dxa"/>
              <w:left w:w="15" w:type="dxa"/>
              <w:right w:w="15" w:type="dxa"/>
            </w:tcMar>
            <w:vAlign w:val="bottom"/>
          </w:tcPr>
          <w:p w:rsidR="005E562C" w:rsidRDefault="000942A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巫山县当阳乡人民政府（本级）</w:t>
            </w:r>
          </w:p>
        </w:tc>
        <w:tc>
          <w:tcPr>
            <w:tcW w:w="2375" w:type="dxa"/>
            <w:tcBorders>
              <w:top w:val="nil"/>
              <w:left w:val="nil"/>
              <w:bottom w:val="single" w:sz="4" w:space="0" w:color="auto"/>
              <w:right w:val="nil"/>
            </w:tcBorders>
            <w:shd w:val="clear" w:color="auto" w:fill="auto"/>
            <w:tcMar>
              <w:top w:w="15" w:type="dxa"/>
              <w:left w:w="15" w:type="dxa"/>
              <w:right w:w="15" w:type="dxa"/>
            </w:tcMar>
            <w:vAlign w:val="bottom"/>
          </w:tcPr>
          <w:p w:rsidR="005E562C" w:rsidRDefault="005E562C">
            <w:pPr>
              <w:spacing w:line="280" w:lineRule="exact"/>
              <w:jc w:val="right"/>
              <w:rPr>
                <w:rFonts w:cs="宋体" w:hint="default"/>
                <w:color w:val="000000"/>
                <w:kern w:val="2"/>
                <w:sz w:val="20"/>
                <w:szCs w:val="20"/>
              </w:rPr>
            </w:pPr>
          </w:p>
        </w:tc>
        <w:tc>
          <w:tcPr>
            <w:tcW w:w="3674" w:type="dxa"/>
            <w:tcBorders>
              <w:top w:val="nil"/>
              <w:left w:val="nil"/>
              <w:bottom w:val="single" w:sz="4" w:space="0" w:color="auto"/>
              <w:right w:val="nil"/>
            </w:tcBorders>
            <w:shd w:val="clear" w:color="auto" w:fill="auto"/>
            <w:tcMar>
              <w:top w:w="15" w:type="dxa"/>
              <w:left w:w="15" w:type="dxa"/>
              <w:right w:w="15" w:type="dxa"/>
            </w:tcMar>
            <w:vAlign w:val="bottom"/>
          </w:tcPr>
          <w:p w:rsidR="005E562C" w:rsidRDefault="005E562C">
            <w:pPr>
              <w:spacing w:line="280" w:lineRule="exact"/>
              <w:rPr>
                <w:rFonts w:cs="宋体" w:hint="default"/>
                <w:color w:val="000000"/>
                <w:kern w:val="2"/>
                <w:sz w:val="20"/>
                <w:szCs w:val="20"/>
              </w:rPr>
            </w:pPr>
          </w:p>
        </w:tc>
        <w:tc>
          <w:tcPr>
            <w:tcW w:w="2487" w:type="dxa"/>
            <w:tcBorders>
              <w:top w:val="nil"/>
              <w:left w:val="nil"/>
              <w:bottom w:val="single" w:sz="4" w:space="0" w:color="auto"/>
              <w:right w:val="nil"/>
            </w:tcBorders>
            <w:shd w:val="clear" w:color="auto" w:fill="auto"/>
            <w:tcMar>
              <w:top w:w="15" w:type="dxa"/>
              <w:left w:w="15" w:type="dxa"/>
              <w:right w:w="15" w:type="dxa"/>
            </w:tcMar>
            <w:vAlign w:val="bottom"/>
          </w:tcPr>
          <w:p w:rsidR="005E562C" w:rsidRDefault="000942A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E562C">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E562C">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61.91</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2.88</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2.88</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61.91</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2.23</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2.23</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2.23</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2.23</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0.65</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0.65</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0.65</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217</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4.32</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4.32</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217</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sz w:val="18"/>
                <w:szCs w:val="18"/>
              </w:rPr>
            </w:pP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4.32</w:t>
            </w:r>
          </w:p>
        </w:tc>
      </w:tr>
      <w:tr w:rsidR="005E562C">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4.32</w:t>
            </w:r>
          </w:p>
        </w:tc>
      </w:tr>
      <w:tr w:rsidR="005E562C">
        <w:trPr>
          <w:trHeight w:val="286"/>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1.52</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5E562C">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jc w:val="right"/>
              <w:rPr>
                <w:rFonts w:cs="宋体" w:hint="default"/>
                <w:color w:val="000000"/>
                <w:kern w:val="2"/>
                <w:sz w:val="16"/>
                <w:szCs w:val="16"/>
              </w:rPr>
            </w:pPr>
          </w:p>
        </w:tc>
      </w:tr>
      <w:tr w:rsidR="005E562C">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1.22</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5E562C">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jc w:val="right"/>
              <w:rPr>
                <w:rFonts w:cs="宋体" w:hint="default"/>
                <w:color w:val="000000"/>
                <w:kern w:val="2"/>
                <w:sz w:val="16"/>
                <w:szCs w:val="16"/>
              </w:rPr>
            </w:pPr>
          </w:p>
        </w:tc>
      </w:tr>
      <w:tr w:rsidR="005E562C">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0942A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0942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12.29</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E562C" w:rsidRDefault="005E562C">
            <w:pPr>
              <w:spacing w:line="280" w:lineRule="exact"/>
              <w:rPr>
                <w:rFonts w:cs="宋体" w:hint="default"/>
                <w:color w:val="000000"/>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E562C" w:rsidRDefault="005E562C">
            <w:pPr>
              <w:spacing w:line="280" w:lineRule="exact"/>
              <w:jc w:val="right"/>
              <w:rPr>
                <w:rFonts w:cs="宋体" w:hint="default"/>
                <w:color w:val="000000"/>
                <w:sz w:val="16"/>
                <w:szCs w:val="16"/>
              </w:rPr>
            </w:pPr>
          </w:p>
        </w:tc>
      </w:tr>
    </w:tbl>
    <w:p w:rsidR="005E562C" w:rsidRDefault="000942AC">
      <w:pPr>
        <w:rPr>
          <w:rFonts w:cs="宋体"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p>
    <w:p w:rsidR="005E562C" w:rsidRDefault="005E562C">
      <w:pPr>
        <w:rPr>
          <w:rFonts w:cs="宋体" w:hint="default"/>
          <w:sz w:val="18"/>
          <w:szCs w:val="18"/>
        </w:rPr>
      </w:pPr>
    </w:p>
    <w:p w:rsidR="005E562C" w:rsidRDefault="005E562C">
      <w:pPr>
        <w:rPr>
          <w:rFonts w:cs="宋体" w:hint="default"/>
          <w:sz w:val="18"/>
          <w:szCs w:val="18"/>
        </w:rPr>
      </w:pPr>
    </w:p>
    <w:tbl>
      <w:tblPr>
        <w:tblW w:w="5000" w:type="pct"/>
        <w:tblLook w:val="04A0"/>
      </w:tblPr>
      <w:tblGrid>
        <w:gridCol w:w="2293"/>
        <w:gridCol w:w="1368"/>
        <w:gridCol w:w="1368"/>
        <w:gridCol w:w="1476"/>
        <w:gridCol w:w="1116"/>
        <w:gridCol w:w="1523"/>
        <w:gridCol w:w="1386"/>
        <w:gridCol w:w="1386"/>
        <w:gridCol w:w="936"/>
        <w:gridCol w:w="1296"/>
        <w:gridCol w:w="1360"/>
      </w:tblGrid>
      <w:tr w:rsidR="005E562C">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jc w:val="center"/>
              <w:rPr>
                <w:rFonts w:cs="宋体" w:hint="default"/>
                <w:sz w:val="18"/>
                <w:szCs w:val="18"/>
              </w:rPr>
            </w:pPr>
            <w:r>
              <w:rPr>
                <w:rFonts w:cs="宋体"/>
                <w:sz w:val="18"/>
                <w:szCs w:val="18"/>
              </w:rPr>
              <w:lastRenderedPageBreak/>
              <w:t>2024</w:t>
            </w:r>
            <w:r>
              <w:rPr>
                <w:rFonts w:cs="宋体"/>
                <w:sz w:val="18"/>
                <w:szCs w:val="18"/>
              </w:rPr>
              <w:t>年度部门整体绩效自评表</w:t>
            </w:r>
          </w:p>
        </w:tc>
      </w:tr>
      <w:tr w:rsidR="005E562C">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状态：绩效审核已审</w:t>
            </w: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项目名称：</w:t>
            </w: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巫山县当阳乡人民政府整体自评</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项目编码：</w:t>
            </w:r>
          </w:p>
        </w:tc>
        <w:tc>
          <w:tcPr>
            <w:tcW w:w="9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50023700024P000163</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自评总分：</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99.95</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62C" w:rsidRDefault="005E562C">
            <w:pPr>
              <w:rPr>
                <w:rFonts w:cs="宋体" w:hint="default"/>
                <w:sz w:val="18"/>
                <w:szCs w:val="18"/>
              </w:rPr>
            </w:pP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项目主管部门：</w:t>
            </w: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920-</w:t>
            </w:r>
            <w:r>
              <w:rPr>
                <w:rFonts w:cs="宋体"/>
                <w:sz w:val="18"/>
                <w:szCs w:val="18"/>
              </w:rPr>
              <w:t>巫山县当阳乡人民政府</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财政归口处室：</w:t>
            </w:r>
          </w:p>
        </w:tc>
        <w:tc>
          <w:tcPr>
            <w:tcW w:w="9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006-</w:t>
            </w:r>
            <w:r>
              <w:rPr>
                <w:rFonts w:cs="宋体"/>
                <w:sz w:val="18"/>
                <w:szCs w:val="18"/>
              </w:rPr>
              <w:t>农业农村科</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部门联系人：</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曾姣</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联系电话：</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15696539561</w:t>
            </w: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资金情况</w:t>
            </w:r>
          </w:p>
        </w:tc>
      </w:tr>
      <w:tr w:rsidR="005E562C">
        <w:trPr>
          <w:trHeight w:val="500"/>
        </w:trPr>
        <w:tc>
          <w:tcPr>
            <w:tcW w:w="109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8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年初预算数</w:t>
            </w:r>
          </w:p>
        </w:tc>
        <w:tc>
          <w:tcPr>
            <w:tcW w:w="9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全年（调整）预算数</w:t>
            </w:r>
          </w:p>
        </w:tc>
        <w:tc>
          <w:tcPr>
            <w:tcW w:w="92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全年执行数</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执行率权重</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执行率得分</w:t>
            </w:r>
          </w:p>
        </w:tc>
      </w:tr>
      <w:tr w:rsidR="005E562C">
        <w:trPr>
          <w:trHeight w:val="500"/>
        </w:trPr>
        <w:tc>
          <w:tcPr>
            <w:tcW w:w="765"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年度总金额</w:t>
            </w:r>
          </w:p>
        </w:tc>
        <w:tc>
          <w:tcPr>
            <w:tcW w:w="326"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5"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9,776,631.33 </w:t>
            </w:r>
          </w:p>
        </w:tc>
        <w:tc>
          <w:tcPr>
            <w:tcW w:w="37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42"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18,062,254.62 </w:t>
            </w:r>
          </w:p>
        </w:tc>
        <w:tc>
          <w:tcPr>
            <w:tcW w:w="46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61"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17,977,154.62 </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765"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其中：财政拨款</w:t>
            </w:r>
          </w:p>
        </w:tc>
        <w:tc>
          <w:tcPr>
            <w:tcW w:w="326"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5"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9,776,631.33 </w:t>
            </w:r>
          </w:p>
        </w:tc>
        <w:tc>
          <w:tcPr>
            <w:tcW w:w="37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42"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18,062,254.62 </w:t>
            </w:r>
          </w:p>
        </w:tc>
        <w:tc>
          <w:tcPr>
            <w:tcW w:w="46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61"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17,977,154.62 </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99.53</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10.00</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9.95 </w:t>
            </w:r>
          </w:p>
        </w:tc>
      </w:tr>
      <w:tr w:rsidR="005E562C">
        <w:trPr>
          <w:trHeight w:val="500"/>
        </w:trPr>
        <w:tc>
          <w:tcPr>
            <w:tcW w:w="765"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一般公共预算</w:t>
            </w:r>
          </w:p>
        </w:tc>
        <w:tc>
          <w:tcPr>
            <w:tcW w:w="326"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5"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9,776</w:t>
            </w:r>
            <w:r>
              <w:rPr>
                <w:rFonts w:cs="宋体"/>
                <w:sz w:val="18"/>
                <w:szCs w:val="18"/>
              </w:rPr>
              <w:t xml:space="preserve">,631.33 </w:t>
            </w:r>
          </w:p>
        </w:tc>
        <w:tc>
          <w:tcPr>
            <w:tcW w:w="37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42"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17,855,509.62 </w:t>
            </w:r>
          </w:p>
        </w:tc>
        <w:tc>
          <w:tcPr>
            <w:tcW w:w="46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61"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17,770,409.62 </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99.52</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绩效目标</w:t>
            </w:r>
          </w:p>
        </w:tc>
      </w:tr>
      <w:tr w:rsidR="005E562C">
        <w:trPr>
          <w:trHeight w:val="500"/>
        </w:trPr>
        <w:tc>
          <w:tcPr>
            <w:tcW w:w="190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年初绩效目标</w:t>
            </w:r>
          </w:p>
        </w:tc>
        <w:tc>
          <w:tcPr>
            <w:tcW w:w="183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全年（调整）绩效目标</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全年目标实际完成情况</w:t>
            </w:r>
          </w:p>
        </w:tc>
      </w:tr>
      <w:tr w:rsidR="005E562C">
        <w:trPr>
          <w:trHeight w:val="1600"/>
        </w:trPr>
        <w:tc>
          <w:tcPr>
            <w:tcW w:w="1908" w:type="pct"/>
            <w:gridSpan w:val="4"/>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完成支出预算</w:t>
            </w:r>
            <w:r>
              <w:rPr>
                <w:rFonts w:cs="宋体"/>
                <w:sz w:val="18"/>
                <w:szCs w:val="18"/>
              </w:rPr>
              <w:t>9557240.21</w:t>
            </w:r>
            <w:r>
              <w:rPr>
                <w:rFonts w:cs="宋体"/>
                <w:sz w:val="18"/>
                <w:szCs w:val="18"/>
              </w:rPr>
              <w:t>元，保障全年基本运转。政府其他综合性事务，用于保障政府整体运转</w:t>
            </w:r>
            <w:r>
              <w:rPr>
                <w:rFonts w:cs="宋体"/>
                <w:sz w:val="18"/>
                <w:szCs w:val="18"/>
              </w:rPr>
              <w:t>;</w:t>
            </w:r>
            <w:r>
              <w:rPr>
                <w:rFonts w:cs="宋体"/>
                <w:sz w:val="18"/>
                <w:szCs w:val="18"/>
              </w:rPr>
              <w:t>用于村级公益事业，为村级发展规划提供更好的资金保障。</w:t>
            </w:r>
            <w:r>
              <w:rPr>
                <w:rFonts w:cs="宋体"/>
                <w:sz w:val="18"/>
                <w:szCs w:val="18"/>
              </w:rPr>
              <w:t>;</w:t>
            </w:r>
            <w:r>
              <w:rPr>
                <w:rFonts w:cs="宋体"/>
                <w:sz w:val="18"/>
                <w:szCs w:val="18"/>
              </w:rPr>
              <w:t>用于村、居组织的办公经费，维持村、居办公日常运转</w:t>
            </w:r>
            <w:r>
              <w:rPr>
                <w:rFonts w:cs="宋体"/>
                <w:sz w:val="18"/>
                <w:szCs w:val="18"/>
              </w:rPr>
              <w:t>;</w:t>
            </w:r>
            <w:r>
              <w:rPr>
                <w:rFonts w:cs="宋体"/>
                <w:sz w:val="18"/>
                <w:szCs w:val="18"/>
              </w:rPr>
              <w:t>用于服务群众工作经费，不断强化内部管理，积极整合社会资源，为努力服务好群众明确方向；用于党组织的活动经费，发挥党组织作用</w:t>
            </w:r>
            <w:r>
              <w:rPr>
                <w:rFonts w:cs="宋体"/>
                <w:sz w:val="18"/>
                <w:szCs w:val="18"/>
              </w:rPr>
              <w:t>;</w:t>
            </w:r>
            <w:r>
              <w:rPr>
                <w:rFonts w:cs="宋体"/>
                <w:sz w:val="18"/>
                <w:szCs w:val="18"/>
              </w:rPr>
              <w:t>离任村干部在离任之后更需要党和政府的关心爱护，为他们提供了基本生活保障，解决后顾之忧</w:t>
            </w:r>
            <w:r>
              <w:rPr>
                <w:rFonts w:cs="宋体"/>
                <w:sz w:val="18"/>
                <w:szCs w:val="18"/>
              </w:rPr>
              <w:t>;</w:t>
            </w:r>
            <w:r>
              <w:rPr>
                <w:rFonts w:cs="宋体"/>
                <w:sz w:val="18"/>
                <w:szCs w:val="18"/>
              </w:rPr>
              <w:t>为在职村、居干部提供报酬，提高工作积极性</w:t>
            </w:r>
            <w:r>
              <w:rPr>
                <w:rFonts w:cs="宋体"/>
                <w:sz w:val="18"/>
                <w:szCs w:val="18"/>
              </w:rPr>
              <w:t>;</w:t>
            </w:r>
            <w:r>
              <w:rPr>
                <w:rFonts w:cs="宋体"/>
                <w:sz w:val="18"/>
                <w:szCs w:val="18"/>
              </w:rPr>
              <w:t>保障驻村工作队基本生活和办公所需</w:t>
            </w:r>
            <w:r>
              <w:rPr>
                <w:rFonts w:cs="宋体"/>
                <w:sz w:val="18"/>
                <w:szCs w:val="18"/>
              </w:rPr>
              <w:t>;</w:t>
            </w:r>
            <w:r>
              <w:rPr>
                <w:rFonts w:cs="宋体"/>
                <w:sz w:val="18"/>
                <w:szCs w:val="18"/>
              </w:rPr>
              <w:t>根据乡镇履行职能和自身特殊事</w:t>
            </w:r>
            <w:r>
              <w:rPr>
                <w:rFonts w:cs="宋体"/>
                <w:sz w:val="18"/>
                <w:szCs w:val="18"/>
              </w:rPr>
              <w:t>项的需要，设置相应的专项业务经费，按乡镇类别或人口数据核定，列入乡镇财政预算</w:t>
            </w:r>
            <w:r>
              <w:rPr>
                <w:rFonts w:cs="宋体"/>
                <w:sz w:val="18"/>
                <w:szCs w:val="18"/>
              </w:rPr>
              <w:t>;</w:t>
            </w:r>
            <w:r>
              <w:rPr>
                <w:rFonts w:cs="宋体"/>
                <w:sz w:val="18"/>
                <w:szCs w:val="18"/>
              </w:rPr>
              <w:t>改善乡村两级办学的环境，改善农村教育的薄弱环境</w:t>
            </w:r>
            <w:r>
              <w:rPr>
                <w:rFonts w:cs="宋体"/>
                <w:sz w:val="18"/>
                <w:szCs w:val="18"/>
              </w:rPr>
              <w:t>;</w:t>
            </w:r>
            <w:r>
              <w:rPr>
                <w:rFonts w:cs="宋体"/>
                <w:sz w:val="18"/>
                <w:szCs w:val="18"/>
              </w:rPr>
              <w:t>保障三支一扶人员工资、绩效及五险一金</w:t>
            </w:r>
            <w:r>
              <w:rPr>
                <w:rFonts w:cs="宋体"/>
                <w:sz w:val="18"/>
                <w:szCs w:val="18"/>
              </w:rPr>
              <w:t>;</w:t>
            </w:r>
            <w:r>
              <w:rPr>
                <w:rFonts w:cs="宋体"/>
                <w:sz w:val="18"/>
                <w:szCs w:val="18"/>
              </w:rPr>
              <w:t>保障单位遗属人员生活。</w:t>
            </w:r>
          </w:p>
        </w:tc>
        <w:tc>
          <w:tcPr>
            <w:tcW w:w="1835" w:type="pct"/>
            <w:gridSpan w:val="4"/>
            <w:tcBorders>
              <w:top w:val="single" w:sz="4" w:space="0" w:color="000000"/>
              <w:left w:val="single" w:sz="4" w:space="0" w:color="000000"/>
              <w:bottom w:val="single" w:sz="4" w:space="0" w:color="000000"/>
              <w:right w:val="single" w:sz="4" w:space="0" w:color="000000"/>
            </w:tcBorders>
            <w:shd w:val="clear" w:color="auto" w:fill="auto"/>
          </w:tcPr>
          <w:p w:rsidR="005E562C" w:rsidRDefault="005E562C">
            <w:pPr>
              <w:rPr>
                <w:rFonts w:cs="宋体" w:hint="default"/>
                <w:sz w:val="18"/>
                <w:szCs w:val="18"/>
              </w:rPr>
            </w:pP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全乡各项工作任务圆满完成，按时足额发放人员津补贴，顺利完成各项基础设施建设，保障各村（居）工作的顺利开展。</w:t>
            </w: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绩效指标</w:t>
            </w: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指标名称</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计量单位</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指标性质</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指标值</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全年完成值</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偏离度（</w:t>
            </w:r>
            <w:r>
              <w:rPr>
                <w:rFonts w:cs="宋体"/>
                <w:sz w:val="18"/>
                <w:szCs w:val="18"/>
              </w:rPr>
              <w:t>%</w:t>
            </w:r>
            <w:r>
              <w:rPr>
                <w:rFonts w:cs="宋体"/>
                <w:sz w:val="18"/>
                <w:szCs w:val="18"/>
              </w:rPr>
              <w:t>）</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得分系数（</w:t>
            </w:r>
            <w:r>
              <w:rPr>
                <w:rFonts w:cs="宋体"/>
                <w:sz w:val="18"/>
                <w:szCs w:val="18"/>
              </w:rPr>
              <w:t>%</w:t>
            </w:r>
            <w:r>
              <w:rPr>
                <w:rFonts w:cs="宋体"/>
                <w:sz w:val="18"/>
                <w:szCs w:val="18"/>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指标权重</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指标得分</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是否核心指标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说明</w:t>
            </w: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lastRenderedPageBreak/>
              <w:t>保障在职人员工资人数</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人</w:t>
            </w:r>
            <w:r>
              <w:rPr>
                <w:rFonts w:cs="宋体"/>
                <w:sz w:val="18"/>
                <w:szCs w:val="18"/>
              </w:rPr>
              <w:t>/</w:t>
            </w:r>
            <w:r>
              <w:rPr>
                <w:rFonts w:cs="宋体"/>
                <w:sz w:val="18"/>
                <w:szCs w:val="18"/>
              </w:rPr>
              <w:t>年</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30</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35</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16.67</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基础设施建设合格率</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解决群众困难完成度</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人均可支配经济收入</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元</w:t>
            </w:r>
            <w:r>
              <w:rPr>
                <w:rFonts w:cs="宋体"/>
                <w:sz w:val="18"/>
                <w:szCs w:val="18"/>
              </w:rPr>
              <w:t>/</w:t>
            </w:r>
            <w:r>
              <w:rPr>
                <w:rFonts w:cs="宋体"/>
                <w:sz w:val="18"/>
                <w:szCs w:val="18"/>
              </w:rPr>
              <w:t>人年</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12000</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12000</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受益群众满意度</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95</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95</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bl>
    <w:p w:rsidR="005E562C" w:rsidRDefault="005E562C">
      <w:pPr>
        <w:rPr>
          <w:rFonts w:cs="宋体" w:hint="default"/>
          <w:sz w:val="18"/>
          <w:szCs w:val="18"/>
        </w:rPr>
      </w:pPr>
    </w:p>
    <w:p w:rsidR="005E562C" w:rsidRDefault="005E562C">
      <w:pPr>
        <w:rPr>
          <w:rFonts w:cs="宋体" w:hint="default"/>
          <w:sz w:val="18"/>
          <w:szCs w:val="18"/>
        </w:rPr>
      </w:pPr>
      <w:bookmarkStart w:id="0" w:name="_GoBack"/>
      <w:bookmarkEnd w:id="0"/>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tbl>
      <w:tblPr>
        <w:tblpPr w:leftFromText="180" w:rightFromText="180" w:vertAnchor="text" w:horzAnchor="page" w:tblpX="936" w:tblpY="903"/>
        <w:tblOverlap w:val="never"/>
        <w:tblW w:w="5000" w:type="pct"/>
        <w:tblLook w:val="04A0"/>
      </w:tblPr>
      <w:tblGrid>
        <w:gridCol w:w="2652"/>
        <w:gridCol w:w="1190"/>
        <w:gridCol w:w="1186"/>
        <w:gridCol w:w="1508"/>
        <w:gridCol w:w="1123"/>
        <w:gridCol w:w="1576"/>
        <w:gridCol w:w="1409"/>
        <w:gridCol w:w="1030"/>
        <w:gridCol w:w="937"/>
        <w:gridCol w:w="1314"/>
        <w:gridCol w:w="1583"/>
      </w:tblGrid>
      <w:tr w:rsidR="005E562C">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jc w:val="center"/>
              <w:rPr>
                <w:rFonts w:cs="宋体" w:hint="default"/>
                <w:sz w:val="18"/>
                <w:szCs w:val="18"/>
              </w:rPr>
            </w:pPr>
            <w:r>
              <w:rPr>
                <w:rFonts w:cs="宋体"/>
                <w:sz w:val="18"/>
                <w:szCs w:val="18"/>
              </w:rPr>
              <w:lastRenderedPageBreak/>
              <w:t>2024</w:t>
            </w:r>
            <w:r>
              <w:rPr>
                <w:rFonts w:cs="宋体"/>
                <w:sz w:val="18"/>
                <w:szCs w:val="18"/>
              </w:rPr>
              <w:t>年度二级项目绩效自评表</w:t>
            </w:r>
          </w:p>
        </w:tc>
      </w:tr>
      <w:tr w:rsidR="005E562C">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状态：绩效审核已审</w:t>
            </w: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项目名称：</w:t>
            </w:r>
          </w:p>
        </w:tc>
        <w:tc>
          <w:tcPr>
            <w:tcW w:w="6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农村生活垃圾处置费</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项目编码：</w:t>
            </w:r>
          </w:p>
        </w:tc>
        <w:tc>
          <w:tcPr>
            <w:tcW w:w="9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50023723T000003170447</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自评总分：</w:t>
            </w:r>
          </w:p>
        </w:tc>
        <w:tc>
          <w:tcPr>
            <w:tcW w:w="66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100.00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62C" w:rsidRDefault="005E562C">
            <w:pPr>
              <w:rPr>
                <w:rFonts w:cs="宋体" w:hint="default"/>
                <w:sz w:val="18"/>
                <w:szCs w:val="18"/>
              </w:rPr>
            </w:pP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项目主管部门：</w:t>
            </w:r>
          </w:p>
        </w:tc>
        <w:tc>
          <w:tcPr>
            <w:tcW w:w="6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920-</w:t>
            </w:r>
            <w:r>
              <w:rPr>
                <w:rFonts w:cs="宋体"/>
                <w:sz w:val="18"/>
                <w:szCs w:val="18"/>
              </w:rPr>
              <w:t>巫山县当阳乡人民政府</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财政归口处室：</w:t>
            </w:r>
          </w:p>
        </w:tc>
        <w:tc>
          <w:tcPr>
            <w:tcW w:w="9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006-</w:t>
            </w:r>
            <w:r>
              <w:rPr>
                <w:rFonts w:cs="宋体"/>
                <w:sz w:val="18"/>
                <w:szCs w:val="18"/>
              </w:rPr>
              <w:t>农业农村科</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部门联系人：</w:t>
            </w:r>
          </w:p>
        </w:tc>
        <w:tc>
          <w:tcPr>
            <w:tcW w:w="66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曾姣</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联系电话：</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15696539561</w:t>
            </w: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资金情况</w:t>
            </w:r>
          </w:p>
        </w:tc>
      </w:tr>
      <w:tr w:rsidR="005E562C">
        <w:trPr>
          <w:trHeight w:val="500"/>
        </w:trPr>
        <w:tc>
          <w:tcPr>
            <w:tcW w:w="118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8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年初预算数</w:t>
            </w:r>
          </w:p>
        </w:tc>
        <w:tc>
          <w:tcPr>
            <w:tcW w:w="9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全年（调整）预算数</w:t>
            </w:r>
          </w:p>
        </w:tc>
        <w:tc>
          <w:tcPr>
            <w:tcW w:w="8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全年执行数</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执行率权重</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执行率得分</w:t>
            </w:r>
          </w:p>
        </w:tc>
      </w:tr>
      <w:tr w:rsidR="005E562C">
        <w:trPr>
          <w:trHeight w:val="500"/>
        </w:trPr>
        <w:tc>
          <w:tcPr>
            <w:tcW w:w="870"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年度总金额</w:t>
            </w:r>
          </w:p>
        </w:tc>
        <w:tc>
          <w:tcPr>
            <w:tcW w:w="316"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16"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99"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64,020.00 </w:t>
            </w:r>
          </w:p>
        </w:tc>
        <w:tc>
          <w:tcPr>
            <w:tcW w:w="377"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22"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64,000.00 </w:t>
            </w:r>
          </w:p>
        </w:tc>
        <w:tc>
          <w:tcPr>
            <w:tcW w:w="469"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347"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64,000.00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70"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其中：财政拨款</w:t>
            </w:r>
          </w:p>
        </w:tc>
        <w:tc>
          <w:tcPr>
            <w:tcW w:w="316"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16"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99"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64,020.00 </w:t>
            </w:r>
          </w:p>
        </w:tc>
        <w:tc>
          <w:tcPr>
            <w:tcW w:w="377"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22"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64,000.00 </w:t>
            </w:r>
          </w:p>
        </w:tc>
        <w:tc>
          <w:tcPr>
            <w:tcW w:w="469"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347"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64,000.00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10.00 </w:t>
            </w:r>
          </w:p>
        </w:tc>
      </w:tr>
      <w:tr w:rsidR="005E562C">
        <w:trPr>
          <w:trHeight w:val="500"/>
        </w:trPr>
        <w:tc>
          <w:tcPr>
            <w:tcW w:w="870"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一般公共预算</w:t>
            </w:r>
          </w:p>
        </w:tc>
        <w:tc>
          <w:tcPr>
            <w:tcW w:w="316"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16"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499"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64,020.00 </w:t>
            </w:r>
          </w:p>
        </w:tc>
        <w:tc>
          <w:tcPr>
            <w:tcW w:w="377"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22"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64,000.00 </w:t>
            </w:r>
          </w:p>
        </w:tc>
        <w:tc>
          <w:tcPr>
            <w:tcW w:w="469"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347"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64,000.00 </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绩效目标</w:t>
            </w:r>
          </w:p>
        </w:tc>
      </w:tr>
      <w:tr w:rsidR="005E562C">
        <w:trPr>
          <w:trHeight w:val="500"/>
        </w:trPr>
        <w:tc>
          <w:tcPr>
            <w:tcW w:w="200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年初绩效目标</w:t>
            </w:r>
          </w:p>
        </w:tc>
        <w:tc>
          <w:tcPr>
            <w:tcW w:w="171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全年（调整）绩效目标</w:t>
            </w:r>
          </w:p>
        </w:tc>
        <w:tc>
          <w:tcPr>
            <w:tcW w:w="127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全年目标实际完成情况</w:t>
            </w:r>
          </w:p>
        </w:tc>
      </w:tr>
      <w:tr w:rsidR="005E562C">
        <w:trPr>
          <w:trHeight w:val="1600"/>
        </w:trPr>
        <w:tc>
          <w:tcPr>
            <w:tcW w:w="2004" w:type="pct"/>
            <w:gridSpan w:val="4"/>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保障当阳乡</w:t>
            </w:r>
            <w:r>
              <w:rPr>
                <w:rFonts w:cs="宋体"/>
                <w:sz w:val="18"/>
                <w:szCs w:val="18"/>
              </w:rPr>
              <w:t>2023</w:t>
            </w:r>
            <w:r>
              <w:rPr>
                <w:rFonts w:cs="宋体"/>
                <w:sz w:val="18"/>
                <w:szCs w:val="18"/>
              </w:rPr>
              <w:t>年农村生活垃圾处置费，提高居民生活环境质量。</w:t>
            </w:r>
          </w:p>
        </w:tc>
        <w:tc>
          <w:tcPr>
            <w:tcW w:w="1716" w:type="pct"/>
            <w:gridSpan w:val="4"/>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保障当阳乡</w:t>
            </w:r>
            <w:r>
              <w:rPr>
                <w:rFonts w:cs="宋体"/>
                <w:sz w:val="18"/>
                <w:szCs w:val="18"/>
              </w:rPr>
              <w:t>2023</w:t>
            </w:r>
            <w:r>
              <w:rPr>
                <w:rFonts w:cs="宋体"/>
                <w:sz w:val="18"/>
                <w:szCs w:val="18"/>
              </w:rPr>
              <w:t>年农村生活垃圾处置费，提高居民生活环境质量。</w:t>
            </w:r>
          </w:p>
        </w:tc>
        <w:tc>
          <w:tcPr>
            <w:tcW w:w="1278" w:type="pct"/>
            <w:gridSpan w:val="3"/>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保障当阳乡</w:t>
            </w:r>
            <w:r>
              <w:rPr>
                <w:rFonts w:cs="宋体"/>
                <w:sz w:val="18"/>
                <w:szCs w:val="18"/>
              </w:rPr>
              <w:t>2023</w:t>
            </w:r>
            <w:r>
              <w:rPr>
                <w:rFonts w:cs="宋体"/>
                <w:sz w:val="18"/>
                <w:szCs w:val="18"/>
              </w:rPr>
              <w:t>年农村生活垃圾处置费，提高居民生活环境质量。</w:t>
            </w: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绩效指标</w:t>
            </w: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指标名称</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计量单位</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指标性质</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指标值</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全年完成值</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偏离度（</w:t>
            </w:r>
            <w:r>
              <w:rPr>
                <w:rFonts w:cs="宋体"/>
                <w:sz w:val="18"/>
                <w:szCs w:val="18"/>
              </w:rPr>
              <w:t>%</w:t>
            </w:r>
            <w:r>
              <w:rPr>
                <w:rFonts w:cs="宋体"/>
                <w:sz w:val="18"/>
                <w:szCs w:val="18"/>
              </w:rPr>
              <w:t>）</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得分系数（</w:t>
            </w:r>
            <w:r>
              <w:rPr>
                <w:rFonts w:cs="宋体"/>
                <w:sz w:val="18"/>
                <w:szCs w:val="18"/>
              </w:rPr>
              <w:t>%</w:t>
            </w:r>
            <w:r>
              <w:rPr>
                <w:rFonts w:cs="宋体"/>
                <w:sz w:val="18"/>
                <w:szCs w:val="18"/>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指标权重</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指标得分</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是否核心指标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说明</w:t>
            </w: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保障全乡受益人数</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6000</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6000</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lastRenderedPageBreak/>
              <w:t>资金到位效率</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95</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99</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4.21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垃圾可再回收利用，减少浪费</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定性</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好</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提高农村的人文环境</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定性</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好</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群众满意度</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95</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98</w:t>
            </w: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3.16</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bl>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p w:rsidR="005E562C" w:rsidRDefault="005E562C">
      <w:pPr>
        <w:rPr>
          <w:rFonts w:cs="宋体" w:hint="default"/>
          <w:sz w:val="18"/>
          <w:szCs w:val="18"/>
        </w:rPr>
      </w:pPr>
    </w:p>
    <w:tbl>
      <w:tblPr>
        <w:tblpPr w:leftFromText="180" w:rightFromText="180" w:vertAnchor="text" w:horzAnchor="page" w:tblpX="722" w:tblpY="814"/>
        <w:tblOverlap w:val="never"/>
        <w:tblW w:w="5000" w:type="pct"/>
        <w:tblLook w:val="04A0"/>
      </w:tblPr>
      <w:tblGrid>
        <w:gridCol w:w="2592"/>
        <w:gridCol w:w="1190"/>
        <w:gridCol w:w="1186"/>
        <w:gridCol w:w="1529"/>
        <w:gridCol w:w="1142"/>
        <w:gridCol w:w="1598"/>
        <w:gridCol w:w="1430"/>
        <w:gridCol w:w="953"/>
        <w:gridCol w:w="953"/>
        <w:gridCol w:w="1334"/>
        <w:gridCol w:w="1601"/>
      </w:tblGrid>
      <w:tr w:rsidR="005E562C">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jc w:val="center"/>
              <w:rPr>
                <w:rFonts w:cs="宋体" w:hint="default"/>
                <w:sz w:val="18"/>
                <w:szCs w:val="18"/>
              </w:rPr>
            </w:pPr>
            <w:r>
              <w:rPr>
                <w:rFonts w:cs="宋体"/>
                <w:sz w:val="18"/>
                <w:szCs w:val="18"/>
              </w:rPr>
              <w:lastRenderedPageBreak/>
              <w:t>2024</w:t>
            </w:r>
            <w:r>
              <w:rPr>
                <w:rFonts w:cs="宋体"/>
                <w:sz w:val="18"/>
                <w:szCs w:val="18"/>
              </w:rPr>
              <w:t>年度二级项目绩效自评表</w:t>
            </w:r>
          </w:p>
        </w:tc>
      </w:tr>
      <w:tr w:rsidR="005E562C">
        <w:trPr>
          <w:trHeight w:val="48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状态：绩效审核已审</w:t>
            </w: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项目名称：</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r>
              <w:rPr>
                <w:rFonts w:cs="宋体"/>
                <w:sz w:val="18"/>
                <w:szCs w:val="18"/>
              </w:rPr>
              <w:t>雨露计划“补助</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项目编码：</w:t>
            </w:r>
          </w:p>
        </w:tc>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50023722T000002116911</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自评总分：</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100.00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62C" w:rsidRDefault="005E562C">
            <w:pPr>
              <w:rPr>
                <w:rFonts w:cs="宋体" w:hint="default"/>
                <w:sz w:val="18"/>
                <w:szCs w:val="18"/>
              </w:rPr>
            </w:pP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项目主管部门：</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920-</w:t>
            </w:r>
            <w:r>
              <w:rPr>
                <w:rFonts w:cs="宋体"/>
                <w:sz w:val="18"/>
                <w:szCs w:val="18"/>
              </w:rPr>
              <w:t>巫山县当阳乡人民政府</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财政归口处室：</w:t>
            </w:r>
          </w:p>
        </w:tc>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006-</w:t>
            </w:r>
            <w:r>
              <w:rPr>
                <w:rFonts w:cs="宋体"/>
                <w:sz w:val="18"/>
                <w:szCs w:val="18"/>
              </w:rPr>
              <w:t>农业农村科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部门联系人：</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曾姣</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联系电话：</w:t>
            </w:r>
          </w:p>
        </w:tc>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15696539561</w:t>
            </w: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资金情况</w:t>
            </w:r>
          </w:p>
        </w:tc>
      </w:tr>
      <w:tr w:rsidR="005E562C">
        <w:trPr>
          <w:trHeight w:val="500"/>
        </w:trPr>
        <w:tc>
          <w:tcPr>
            <w:tcW w:w="11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年初预算数</w:t>
            </w:r>
          </w:p>
        </w:tc>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全年（调整）预算数</w:t>
            </w:r>
          </w:p>
        </w:tc>
        <w:tc>
          <w:tcPr>
            <w:tcW w:w="7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全年执行数</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执行率权重</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执行率得分</w:t>
            </w:r>
          </w:p>
        </w:tc>
      </w:tr>
      <w:tr w:rsidR="005E562C">
        <w:trPr>
          <w:trHeight w:val="500"/>
        </w:trPr>
        <w:tc>
          <w:tcPr>
            <w:tcW w:w="850"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年度总金额</w:t>
            </w:r>
          </w:p>
        </w:tc>
        <w:tc>
          <w:tcPr>
            <w:tcW w:w="321"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05"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0.00 </w:t>
            </w:r>
          </w:p>
        </w:tc>
        <w:tc>
          <w:tcPr>
            <w:tcW w:w="382"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28"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1,500.00 </w:t>
            </w:r>
          </w:p>
        </w:tc>
        <w:tc>
          <w:tcPr>
            <w:tcW w:w="475"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1,500.00 </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50"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其中：财政拨款</w:t>
            </w:r>
          </w:p>
        </w:tc>
        <w:tc>
          <w:tcPr>
            <w:tcW w:w="321"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05"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0.00 </w:t>
            </w:r>
          </w:p>
        </w:tc>
        <w:tc>
          <w:tcPr>
            <w:tcW w:w="382"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28"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1,500.00 </w:t>
            </w:r>
          </w:p>
        </w:tc>
        <w:tc>
          <w:tcPr>
            <w:tcW w:w="475"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1,500.00 </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10.00 </w:t>
            </w:r>
          </w:p>
        </w:tc>
      </w:tr>
      <w:tr w:rsidR="005E562C">
        <w:trPr>
          <w:trHeight w:val="500"/>
        </w:trPr>
        <w:tc>
          <w:tcPr>
            <w:tcW w:w="850" w:type="pct"/>
            <w:tcBorders>
              <w:top w:val="single" w:sz="4" w:space="0" w:color="000000"/>
              <w:left w:val="single" w:sz="4" w:space="0" w:color="000000"/>
              <w:bottom w:val="single" w:sz="4" w:space="0" w:color="000000"/>
              <w:right w:val="nil"/>
            </w:tcBorders>
            <w:shd w:val="clear" w:color="auto" w:fill="auto"/>
            <w:vAlign w:val="center"/>
          </w:tcPr>
          <w:p w:rsidR="005E562C" w:rsidRDefault="000942AC">
            <w:pPr>
              <w:rPr>
                <w:rFonts w:cs="宋体" w:hint="default"/>
                <w:sz w:val="18"/>
                <w:szCs w:val="18"/>
              </w:rPr>
            </w:pPr>
            <w:r>
              <w:rPr>
                <w:rFonts w:cs="宋体"/>
                <w:sz w:val="18"/>
                <w:szCs w:val="18"/>
              </w:rPr>
              <w:t>一般公共预</w:t>
            </w:r>
            <w:r>
              <w:rPr>
                <w:rFonts w:cs="宋体"/>
                <w:sz w:val="18"/>
                <w:szCs w:val="18"/>
              </w:rPr>
              <w:t>算</w:t>
            </w:r>
          </w:p>
        </w:tc>
        <w:tc>
          <w:tcPr>
            <w:tcW w:w="321" w:type="pct"/>
            <w:tcBorders>
              <w:top w:val="single" w:sz="4" w:space="0" w:color="000000"/>
              <w:left w:val="nil"/>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05"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0.00 </w:t>
            </w:r>
          </w:p>
        </w:tc>
        <w:tc>
          <w:tcPr>
            <w:tcW w:w="382"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528" w:type="pct"/>
            <w:tcBorders>
              <w:top w:val="single" w:sz="4" w:space="0" w:color="000000"/>
              <w:left w:val="nil"/>
              <w:bottom w:val="single" w:sz="4" w:space="0" w:color="000000"/>
              <w:right w:val="single" w:sz="4" w:space="0" w:color="000000"/>
            </w:tcBorders>
            <w:shd w:val="clear" w:color="auto" w:fill="auto"/>
            <w:vAlign w:val="center"/>
          </w:tcPr>
          <w:p w:rsidR="005E562C" w:rsidRDefault="000942AC">
            <w:pPr>
              <w:rPr>
                <w:rFonts w:cs="宋体" w:hint="default"/>
                <w:sz w:val="18"/>
                <w:szCs w:val="18"/>
              </w:rPr>
            </w:pPr>
            <w:r>
              <w:rPr>
                <w:rFonts w:cs="宋体"/>
                <w:sz w:val="18"/>
                <w:szCs w:val="18"/>
              </w:rPr>
              <w:t xml:space="preserve">1,500.00 </w:t>
            </w:r>
          </w:p>
        </w:tc>
        <w:tc>
          <w:tcPr>
            <w:tcW w:w="475" w:type="pct"/>
            <w:tcBorders>
              <w:top w:val="single" w:sz="4" w:space="0" w:color="000000"/>
              <w:left w:val="single" w:sz="4" w:space="0" w:color="000000"/>
              <w:bottom w:val="single" w:sz="4" w:space="0" w:color="000000"/>
              <w:right w:val="nil"/>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nil"/>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 xml:space="preserve">1,500.00 </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绩效目标</w:t>
            </w:r>
          </w:p>
        </w:tc>
      </w:tr>
      <w:tr w:rsidR="005E562C">
        <w:trPr>
          <w:trHeight w:val="500"/>
        </w:trPr>
        <w:tc>
          <w:tcPr>
            <w:tcW w:w="199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年初绩效目标</w:t>
            </w:r>
          </w:p>
        </w:tc>
        <w:tc>
          <w:tcPr>
            <w:tcW w:w="170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全年（调整）绩效目标</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全年目标实际完成情况</w:t>
            </w:r>
          </w:p>
        </w:tc>
      </w:tr>
      <w:tr w:rsidR="005E562C">
        <w:trPr>
          <w:trHeight w:val="1600"/>
        </w:trPr>
        <w:tc>
          <w:tcPr>
            <w:tcW w:w="1998" w:type="pct"/>
            <w:gridSpan w:val="4"/>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”雨露计划“是巩固拓展脱贫攻坚成果机制，提高脱贫人口自我发展能力，促进就业增收，为全县脱贫户、监测户对象中高职职业教育学生发放教育补助。</w:t>
            </w:r>
          </w:p>
        </w:tc>
        <w:tc>
          <w:tcPr>
            <w:tcW w:w="1707" w:type="pct"/>
            <w:gridSpan w:val="4"/>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”雨露计划“是巩固拓展脱贫攻坚成果机制，提高脱贫人口自我发展能力，促进就业增收，为全县脱贫户、监测户对象中高职职业教育学生发放教育补助。</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auto"/>
          </w:tcPr>
          <w:p w:rsidR="005E562C" w:rsidRDefault="000942AC">
            <w:pPr>
              <w:rPr>
                <w:rFonts w:cs="宋体" w:hint="default"/>
                <w:sz w:val="18"/>
                <w:szCs w:val="18"/>
              </w:rPr>
            </w:pPr>
            <w:r>
              <w:rPr>
                <w:rFonts w:cs="宋体"/>
                <w:sz w:val="18"/>
                <w:szCs w:val="18"/>
              </w:rPr>
              <w:t>提高脱贫人口自我发展能力，促进就业增收，为脱贫户、监测户对象中高职职业教育学生发放教育补助。</w:t>
            </w:r>
          </w:p>
        </w:tc>
      </w:tr>
      <w:tr w:rsidR="005E56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绩效指标</w:t>
            </w: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指标名称</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计量单位</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指标性质</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指标值</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全年完成值</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偏离度（</w:t>
            </w:r>
            <w:r>
              <w:rPr>
                <w:rFonts w:cs="宋体"/>
                <w:sz w:val="18"/>
                <w:szCs w:val="18"/>
              </w:rPr>
              <w:t>%</w:t>
            </w:r>
            <w:r>
              <w:rPr>
                <w:rFonts w:cs="宋体"/>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得分系数（</w:t>
            </w:r>
            <w:r>
              <w:rPr>
                <w:rFonts w:cs="宋体"/>
                <w:sz w:val="18"/>
                <w:szCs w:val="18"/>
              </w:rPr>
              <w:t>%</w:t>
            </w:r>
            <w:r>
              <w:rPr>
                <w:rFonts w:cs="宋体"/>
                <w:sz w:val="18"/>
                <w:szCs w:val="18"/>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指标权重</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指标得分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是否核心指标</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说明</w:t>
            </w: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受益村个数</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个</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受益人数</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人</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lastRenderedPageBreak/>
              <w:t>资金到位效率</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95</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99</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4.21</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提高脱贫人口自我发展能力</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定性</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是</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0</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20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r w:rsidR="005E562C">
        <w:trPr>
          <w:trHeight w:val="500"/>
        </w:trPr>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受益群众满意度</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95</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98</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3.16</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100</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10</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0942AC">
            <w:pPr>
              <w:rPr>
                <w:rFonts w:cs="宋体" w:hint="default"/>
                <w:sz w:val="18"/>
                <w:szCs w:val="18"/>
              </w:rPr>
            </w:pPr>
            <w:r>
              <w:rPr>
                <w:rFonts w:cs="宋体"/>
                <w:sz w:val="18"/>
                <w:szCs w:val="18"/>
              </w:rPr>
              <w:t>否</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562C" w:rsidRDefault="005E562C">
            <w:pPr>
              <w:rPr>
                <w:rFonts w:cs="宋体" w:hint="default"/>
                <w:sz w:val="18"/>
                <w:szCs w:val="18"/>
              </w:rPr>
            </w:pPr>
          </w:p>
        </w:tc>
      </w:tr>
    </w:tbl>
    <w:p w:rsidR="005E562C" w:rsidRDefault="005E562C">
      <w:pPr>
        <w:rPr>
          <w:rFonts w:cs="宋体" w:hint="default"/>
          <w:sz w:val="18"/>
          <w:szCs w:val="18"/>
        </w:rPr>
      </w:pPr>
    </w:p>
    <w:p w:rsidR="005E562C" w:rsidRDefault="000942AC">
      <w:pPr>
        <w:rPr>
          <w:rFonts w:hint="default"/>
          <w:sz w:val="18"/>
          <w:szCs w:val="18"/>
        </w:rPr>
      </w:pPr>
      <w:r>
        <w:rPr>
          <w:rFonts w:cs="宋体"/>
          <w:sz w:val="18"/>
          <w:szCs w:val="18"/>
        </w:rPr>
        <w:br/>
      </w:r>
    </w:p>
    <w:sectPr w:rsidR="005E562C" w:rsidSect="005E562C">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2AC" w:rsidRDefault="000942AC" w:rsidP="005E562C">
      <w:r>
        <w:separator/>
      </w:r>
    </w:p>
  </w:endnote>
  <w:endnote w:type="continuationSeparator" w:id="1">
    <w:p w:rsidR="000942AC" w:rsidRDefault="000942AC" w:rsidP="005E5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C" w:rsidRDefault="005E562C">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strokeweight=".5pt">
          <v:textbox style="mso-fit-shape-to-text:t" inset="0,0,0,0">
            <w:txbxContent>
              <w:p w:rsidR="005E562C" w:rsidRDefault="005E562C">
                <w:pPr>
                  <w:pStyle w:val="a4"/>
                  <w:rPr>
                    <w:rFonts w:hint="default"/>
                  </w:rPr>
                </w:pPr>
                <w:r>
                  <w:rPr>
                    <w:rFonts w:hint="default"/>
                  </w:rPr>
                  <w:fldChar w:fldCharType="begin"/>
                </w:r>
                <w:r w:rsidR="000942AC">
                  <w:instrText xml:space="preserve"> PAGE  \* MERGEFORMAT </w:instrText>
                </w:r>
                <w:r>
                  <w:rPr>
                    <w:rFonts w:hint="default"/>
                  </w:rPr>
                  <w:fldChar w:fldCharType="separate"/>
                </w:r>
                <w:r w:rsidR="005C3D18">
                  <w:rPr>
                    <w:rFonts w:hint="default"/>
                    <w:noProof/>
                  </w:rPr>
                  <w:t>- 9 -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C" w:rsidRDefault="005E562C">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allowoverlap="f" filled="f" stroked="f" strokeweight=".5pt">
          <v:textbox style="mso-fit-shape-to-text:t" inset="0,0,0,0">
            <w:txbxContent>
              <w:p w:rsidR="005E562C" w:rsidRDefault="005E562C">
                <w:pPr>
                  <w:pStyle w:val="a4"/>
                  <w:rPr>
                    <w:rFonts w:hint="default"/>
                  </w:rPr>
                </w:pPr>
                <w:r>
                  <w:rPr>
                    <w:rFonts w:hint="default"/>
                  </w:rPr>
                  <w:fldChar w:fldCharType="begin"/>
                </w:r>
                <w:r w:rsidR="000942AC">
                  <w:instrText>PAGE   \* MERGEFORMAT</w:instrText>
                </w:r>
                <w:r>
                  <w:rPr>
                    <w:rFonts w:hint="default"/>
                  </w:rPr>
                  <w:fldChar w:fldCharType="separate"/>
                </w:r>
                <w:r w:rsidR="005C3D18" w:rsidRPr="005C3D18">
                  <w:rPr>
                    <w:rFonts w:hint="default"/>
                    <w:noProof/>
                    <w:lang w:val="zh-CN"/>
                  </w:rPr>
                  <w:t>-</w:t>
                </w:r>
                <w:r w:rsidR="005C3D18">
                  <w:rPr>
                    <w:rFonts w:hint="default"/>
                    <w:noProof/>
                  </w:rPr>
                  <w:t xml:space="preserve"> 37 -</w:t>
                </w:r>
                <w:r>
                  <w:rPr>
                    <w:rFonts w:hint="default"/>
                  </w:rPr>
                  <w:fldChar w:fldCharType="end"/>
                </w:r>
              </w:p>
            </w:txbxContent>
          </v:textbox>
          <w10:wrap anchorx="margin"/>
        </v:shape>
      </w:pict>
    </w:r>
    <w:r>
      <w:rPr>
        <w:rFonts w:hint="default"/>
      </w:rPr>
      <w:pict>
        <v:shape id="_x0000_s1027" type="#_x0000_t202" style="position:absolute;left:0;text-align:left;margin-left:0;margin-top:1160.4pt;width:2in;height:17.4pt;z-index:251660288;mso-wrap-style:none;mso-position-horizontal:center;mso-position-horizontal-relative:margin;mso-position-vertical-relative:page" o:allowoverlap="f" filled="f" stroked="f" strokeweight=".5pt">
          <v:textbox inset="0,0,0,0">
            <w:txbxContent>
              <w:p w:rsidR="005E562C" w:rsidRDefault="000942AC">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2AC" w:rsidRDefault="000942AC" w:rsidP="005E562C">
      <w:r>
        <w:separator/>
      </w:r>
    </w:p>
  </w:footnote>
  <w:footnote w:type="continuationSeparator" w:id="1">
    <w:p w:rsidR="000942AC" w:rsidRDefault="000942AC" w:rsidP="005E5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C" w:rsidRDefault="005E562C">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ZjNDZmYTZmNzkwZmI2NTEzOTgzNjJkMzBiNDVlYzAifQ=="/>
  </w:docVars>
  <w:rsids>
    <w:rsidRoot w:val="00B03CCD"/>
    <w:rsid w:val="000239C6"/>
    <w:rsid w:val="000942AC"/>
    <w:rsid w:val="000F1F0A"/>
    <w:rsid w:val="001D3BB7"/>
    <w:rsid w:val="002775F3"/>
    <w:rsid w:val="002921D6"/>
    <w:rsid w:val="002B254B"/>
    <w:rsid w:val="002C184E"/>
    <w:rsid w:val="00306765"/>
    <w:rsid w:val="0034050A"/>
    <w:rsid w:val="00344D82"/>
    <w:rsid w:val="003454EB"/>
    <w:rsid w:val="0044504F"/>
    <w:rsid w:val="00466C9B"/>
    <w:rsid w:val="00486CFC"/>
    <w:rsid w:val="00491DDD"/>
    <w:rsid w:val="004942F2"/>
    <w:rsid w:val="004B167A"/>
    <w:rsid w:val="00550327"/>
    <w:rsid w:val="00550ABE"/>
    <w:rsid w:val="005C3D18"/>
    <w:rsid w:val="005E562C"/>
    <w:rsid w:val="005F3100"/>
    <w:rsid w:val="00623A85"/>
    <w:rsid w:val="00651C8F"/>
    <w:rsid w:val="006C383E"/>
    <w:rsid w:val="00770383"/>
    <w:rsid w:val="007819D4"/>
    <w:rsid w:val="007B419D"/>
    <w:rsid w:val="007B7C4B"/>
    <w:rsid w:val="007D3D39"/>
    <w:rsid w:val="007F25DD"/>
    <w:rsid w:val="008B3213"/>
    <w:rsid w:val="009328AD"/>
    <w:rsid w:val="00942680"/>
    <w:rsid w:val="00984C6A"/>
    <w:rsid w:val="00994AF7"/>
    <w:rsid w:val="009B67B8"/>
    <w:rsid w:val="009C14C9"/>
    <w:rsid w:val="009D2B67"/>
    <w:rsid w:val="009E1452"/>
    <w:rsid w:val="009F197E"/>
    <w:rsid w:val="00A429B0"/>
    <w:rsid w:val="00A566F9"/>
    <w:rsid w:val="00AB20DB"/>
    <w:rsid w:val="00AD4356"/>
    <w:rsid w:val="00AF2751"/>
    <w:rsid w:val="00B03CCD"/>
    <w:rsid w:val="00B53DE4"/>
    <w:rsid w:val="00BE2B89"/>
    <w:rsid w:val="00BF0D89"/>
    <w:rsid w:val="00BF4F70"/>
    <w:rsid w:val="00C10E9E"/>
    <w:rsid w:val="00C20C3E"/>
    <w:rsid w:val="00C5163E"/>
    <w:rsid w:val="00CF2ACF"/>
    <w:rsid w:val="00D03AAF"/>
    <w:rsid w:val="00DD0539"/>
    <w:rsid w:val="00E07662"/>
    <w:rsid w:val="00E368E9"/>
    <w:rsid w:val="00E810DA"/>
    <w:rsid w:val="00EE1E33"/>
    <w:rsid w:val="00F65B91"/>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E74A3D"/>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156211"/>
    <w:rsid w:val="1B6F15B6"/>
    <w:rsid w:val="1BAA2EDC"/>
    <w:rsid w:val="1C072FF9"/>
    <w:rsid w:val="1CA55E64"/>
    <w:rsid w:val="1CCF275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FC22DB"/>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3D1A1A"/>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865558"/>
    <w:rsid w:val="53C0244D"/>
    <w:rsid w:val="53DD4D4E"/>
    <w:rsid w:val="53E578CE"/>
    <w:rsid w:val="541330F0"/>
    <w:rsid w:val="54272666"/>
    <w:rsid w:val="543B029D"/>
    <w:rsid w:val="54861779"/>
    <w:rsid w:val="54BF1528"/>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7544CA"/>
    <w:rsid w:val="60C7302A"/>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9F7A47"/>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5E562C"/>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E562C"/>
    <w:rPr>
      <w:sz w:val="18"/>
      <w:szCs w:val="18"/>
    </w:rPr>
  </w:style>
  <w:style w:type="paragraph" w:styleId="a4">
    <w:name w:val="footer"/>
    <w:basedOn w:val="a"/>
    <w:qFormat/>
    <w:rsid w:val="005E562C"/>
    <w:pPr>
      <w:tabs>
        <w:tab w:val="center" w:pos="4153"/>
        <w:tab w:val="right" w:pos="8306"/>
      </w:tabs>
      <w:snapToGrid w:val="0"/>
    </w:pPr>
    <w:rPr>
      <w:sz w:val="18"/>
      <w:szCs w:val="18"/>
    </w:rPr>
  </w:style>
  <w:style w:type="paragraph" w:styleId="a5">
    <w:name w:val="header"/>
    <w:basedOn w:val="a"/>
    <w:qFormat/>
    <w:rsid w:val="005E562C"/>
    <w:pPr>
      <w:tabs>
        <w:tab w:val="center" w:pos="4153"/>
        <w:tab w:val="right" w:pos="8306"/>
      </w:tabs>
      <w:snapToGrid w:val="0"/>
      <w:jc w:val="center"/>
    </w:pPr>
    <w:rPr>
      <w:sz w:val="18"/>
      <w:szCs w:val="18"/>
    </w:rPr>
  </w:style>
  <w:style w:type="paragraph" w:styleId="HTML">
    <w:name w:val="HTML Preformatted"/>
    <w:basedOn w:val="a"/>
    <w:qFormat/>
    <w:rsid w:val="005E5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5E562C"/>
    <w:pPr>
      <w:spacing w:before="100" w:beforeAutospacing="1" w:after="100" w:afterAutospacing="1"/>
    </w:pPr>
  </w:style>
  <w:style w:type="table" w:styleId="a7">
    <w:name w:val="Table Grid"/>
    <w:basedOn w:val="a1"/>
    <w:qFormat/>
    <w:rsid w:val="005E56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5E562C"/>
    <w:rPr>
      <w:b/>
    </w:rPr>
  </w:style>
  <w:style w:type="paragraph" w:customStyle="1" w:styleId="1">
    <w:name w:val="列出段落1"/>
    <w:basedOn w:val="a"/>
    <w:uiPriority w:val="99"/>
    <w:qFormat/>
    <w:rsid w:val="005E562C"/>
    <w:pPr>
      <w:ind w:firstLineChars="200" w:firstLine="420"/>
    </w:pPr>
    <w:rPr>
      <w:rFonts w:hint="default"/>
    </w:rPr>
  </w:style>
  <w:style w:type="paragraph" w:customStyle="1" w:styleId="Char0">
    <w:name w:val="普通(网站) Char"/>
    <w:qFormat/>
    <w:rsid w:val="005E562C"/>
    <w:pPr>
      <w:spacing w:before="100" w:beforeAutospacing="1" w:after="100" w:afterAutospacing="1"/>
    </w:pPr>
    <w:rPr>
      <w:rFonts w:ascii="宋体" w:hAnsi="宋体"/>
      <w:sz w:val="24"/>
      <w:szCs w:val="24"/>
    </w:rPr>
  </w:style>
  <w:style w:type="character" w:customStyle="1" w:styleId="21">
    <w:name w:val="21"/>
    <w:basedOn w:val="a0"/>
    <w:qFormat/>
    <w:rsid w:val="005E562C"/>
    <w:rPr>
      <w:rFonts w:ascii="Wingdings" w:hAnsi="Wingdings" w:cs="Wingdings" w:hint="default"/>
      <w:b/>
      <w:bCs/>
    </w:rPr>
  </w:style>
  <w:style w:type="paragraph" w:customStyle="1" w:styleId="2">
    <w:name w:val="列出段落2"/>
    <w:uiPriority w:val="99"/>
    <w:qFormat/>
    <w:rsid w:val="005E562C"/>
    <w:pPr>
      <w:ind w:firstLineChars="200" w:firstLine="420"/>
    </w:pPr>
    <w:rPr>
      <w:rFonts w:ascii="宋体" w:hAnsi="宋体"/>
      <w:sz w:val="24"/>
      <w:szCs w:val="24"/>
    </w:rPr>
  </w:style>
  <w:style w:type="character" w:customStyle="1" w:styleId="Char">
    <w:name w:val="批注框文本 Char"/>
    <w:basedOn w:val="a0"/>
    <w:link w:val="a3"/>
    <w:qFormat/>
    <w:rsid w:val="005E562C"/>
    <w:rPr>
      <w:rFonts w:ascii="宋体" w:hAnsi="宋体"/>
      <w:sz w:val="18"/>
      <w:szCs w:val="18"/>
    </w:rPr>
  </w:style>
  <w:style w:type="paragraph" w:customStyle="1" w:styleId="3">
    <w:name w:val="列出段落3"/>
    <w:basedOn w:val="a"/>
    <w:uiPriority w:val="99"/>
    <w:qFormat/>
    <w:rsid w:val="005E562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3891</Words>
  <Characters>22181</Characters>
  <Application>Microsoft Office Word</Application>
  <DocSecurity>0</DocSecurity>
  <Lines>184</Lines>
  <Paragraphs>52</Paragraphs>
  <ScaleCrop>false</ScaleCrop>
  <Company>52flin</Company>
  <LinksUpToDate>false</LinksUpToDate>
  <CharactersWithSpaces>26020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13</cp:revision>
  <dcterms:created xsi:type="dcterms:W3CDTF">2025-09-09T03:06:00Z</dcterms:created>
  <dcterms:modified xsi:type="dcterms:W3CDTF">2026-04-10T04:02:00Z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305F3EAEB12F41DF97FB418A78B2EB1C</vt:lpwstr>
  </property>
  <property fmtid="{D5CDD505-2E9C-101B-9397-08002B2CF9AE}" pid="4" name="KSOTemplateDocerSaveRecord">
    <vt:lpwstr>eyJoZGlkIjoiMDUwMjYyMTAwZTM5NTcxOGVhNzI3YWZjMDRhMjZkZDEifQ==</vt:lpwstr>
  </property>
</Properties>
</file>