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Segoe UI" w:eastAsia="方正小标宋_GBK" w:cs="Segoe UI"/>
          <w:bCs/>
          <w:color w:val="333333"/>
          <w:sz w:val="44"/>
          <w:szCs w:val="44"/>
          <w:shd w:val="clear" w:color="auto" w:fill="FFFFFF"/>
        </w:rPr>
      </w:pPr>
      <w:r>
        <w:rPr>
          <w:rFonts w:hint="eastAsia" w:ascii="方正小标宋_GBK" w:hAnsi="Segoe UI" w:eastAsia="方正小标宋_GBK" w:cs="Segoe UI"/>
          <w:bCs/>
          <w:color w:val="333333"/>
          <w:sz w:val="44"/>
          <w:szCs w:val="44"/>
          <w:shd w:val="clear" w:color="auto" w:fill="FFFFFF"/>
        </w:rPr>
        <w:t>巫山县教育委员会2026年部门预算</w:t>
      </w:r>
    </w:p>
    <w:p>
      <w:pPr>
        <w:jc w:val="center"/>
        <w:rPr>
          <w:rFonts w:ascii="方正小标宋_GBK" w:hAnsi="Segoe UI" w:eastAsia="方正小标宋_GBK" w:cs="Segoe UI"/>
          <w:bCs/>
          <w:color w:val="333333"/>
          <w:sz w:val="44"/>
          <w:szCs w:val="44"/>
          <w:shd w:val="clear" w:color="auto" w:fill="FFFFFF"/>
        </w:rPr>
      </w:pPr>
      <w:r>
        <w:rPr>
          <w:rFonts w:hint="eastAsia" w:ascii="方正小标宋_GBK" w:hAnsi="Segoe UI" w:eastAsia="方正小标宋_GBK" w:cs="Segoe UI"/>
          <w:bCs/>
          <w:color w:val="333333"/>
          <w:sz w:val="44"/>
          <w:szCs w:val="44"/>
          <w:shd w:val="clear" w:color="auto" w:fill="FFFFFF"/>
        </w:rPr>
        <w:t>情况说明（本级）</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黑体_GBK" w:eastAsia="方正黑体_GBK"/>
          <w:color w:val="000000"/>
          <w:sz w:val="32"/>
          <w:szCs w:val="32"/>
        </w:rPr>
        <w:t>一、单位基本情况</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楷体_GBK" w:eastAsia="方正楷体_GBK"/>
          <w:color w:val="000000"/>
          <w:sz w:val="32"/>
          <w:szCs w:val="32"/>
        </w:rPr>
        <w:t>（一）职能职责</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仿宋_GBK" w:eastAsia="方正仿宋_GBK"/>
          <w:color w:val="000000"/>
          <w:sz w:val="32"/>
          <w:szCs w:val="32"/>
        </w:rPr>
        <w:t>贯彻执行教育工作的法律法规和方针政策，研究拟订本县教育的发展战略、政策，管理、指导教育执法监督工作，牵头研究本县教育改革和发展的重大问题；制定教育事业的发展规划，编制、上报、下达中小学招生计划，指导、监督教育规划、计划的实施，负责教育统计、信息工作；统筹管理全县基础教育、学前教育、特殊教育、成人教育、职业教育、民办教育，指导各乡镇（街道）和各部门的其他教育工作，全面实施素质教育；负责推进义务教育均衡发展和促进教育公平，负责义务教育的指导与协调，组织实施促进公共教育资源进一步向农村和少数民族地区倾斜的政策措施，实施基础教育教学改革；指导以就业为导向的职业教育的发展与改革，组织实施深化职业教育教学改革的政策措施，指导职业学校提高办学水平和质量；统筹管理、协调民办教育，组织实施民办教育管理的政策措施，规范办学秩序，承担民办教育监管责任；负责指导、规划全县各级各类学校的布局和结构调整，负责对全县各级各类学校的国有资产进行宏观管理，指导各类学校校舍、设施建设及教育技术装备和图书资料配备等工作；统筹管理全县教育系统的教育经费，监督有关部门对教育的财政拨款，会同有关部门督促检查各乡镇、县级有关部门教育税费的征收工作，参与教育经费的审计监督，安排教育系统的教育经费及其经费预算、决算工作，归口管理国内外对本县的教育援助；主管全县的教师工作，负责管理、指导学校干部和教师队伍建设，组织学校干部、教师的岗位培训和继续教育；负责实施教师资格制度，管理教职工的考核、职评和奖惩工作，负责本系统人事、分配制度改革和人才培养、开发、引进工作；归口管理全县的学历教育，负责各类教育考试工作，统筹管理县内大中专学校的招生、学籍管理，负责指导中专、中师、专科、大学后继续教育，负责抓好本县公民参加重庆市地方学历教育的招生、培训工作，负责统筹管理大专以下有关学历证书和培训证书的发放；贯彻执行大学、中专毕业生就业制度改革和就业安置的有关政策，协助相关部门抓好大中专毕业生就业、创业工作；负责组织、指导全县教育体制改革、教育教学改革及教育科研、教研工作。负责组织各类学校承担国家及市、县重大科研项目，负责管理教育系统科研经费，负责管理全县教育系统对外交流工作；负责指导教育产业、勤工俭学、学校后勤改革和安全保卫工作；负责实施对乡镇（街道）政府（办事处）教育工作的“督政”和对各类学校的督导工作；负责管理指导全县语言文字工作；承办县委、县政府交办的其他事项。</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MS Mincho" w:hAnsi="MS Mincho" w:eastAsia="MS Mincho" w:cs="MS Mincho"/>
          <w:color w:val="000000"/>
          <w:sz w:val="32"/>
          <w:szCs w:val="32"/>
        </w:rPr>
        <w:t> </w:t>
      </w:r>
      <w:r>
        <w:rPr>
          <w:rFonts w:hint="eastAsia" w:ascii="方正楷体_GBK" w:eastAsia="方正楷体_GBK"/>
          <w:color w:val="000000"/>
          <w:sz w:val="32"/>
          <w:szCs w:val="32"/>
        </w:rPr>
        <w:t>（二）单位构成</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仿宋_GBK" w:eastAsia="方正仿宋_GBK"/>
          <w:color w:val="000000"/>
          <w:sz w:val="32"/>
          <w:szCs w:val="32"/>
        </w:rPr>
        <w:t>巫山县教育委员会（本级）内设6个机构处室，分别是办公室、教育科（行政审批科）、人事科、计划财务科、安全稳定科、督导科（巫山县人民政府教育督导室）。本单位无下级预算单位。</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黑体_GBK" w:eastAsia="方正黑体_GBK"/>
          <w:color w:val="000000"/>
          <w:sz w:val="32"/>
          <w:szCs w:val="32"/>
        </w:rPr>
        <w:t>二、部门收支总体情况</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楷体_GBK" w:eastAsia="方正楷体_GBK"/>
          <w:color w:val="000000"/>
          <w:sz w:val="32"/>
          <w:szCs w:val="32"/>
        </w:rPr>
        <w:t>（一）收入预算</w:t>
      </w:r>
      <w:r>
        <w:rPr>
          <w:rFonts w:hint="eastAsia" w:ascii="方正仿宋_GBK" w:eastAsia="方正仿宋_GBK"/>
          <w:color w:val="000000"/>
          <w:sz w:val="32"/>
          <w:szCs w:val="32"/>
        </w:rPr>
        <w:t>：2026年年初预算数4329.2万元，其中：一般公共预算拨款4329.2万元。收入较去年</w:t>
      </w:r>
      <w:bookmarkStart w:id="0" w:name="OLE_LINK4"/>
      <w:bookmarkStart w:id="1" w:name="OLE_LINK3"/>
      <w:r>
        <w:rPr>
          <w:rFonts w:hint="eastAsia" w:ascii="方正仿宋_GBK" w:eastAsia="方正仿宋_GBK"/>
          <w:color w:val="000000"/>
          <w:sz w:val="32"/>
          <w:szCs w:val="32"/>
        </w:rPr>
        <w:t>减少1175.47万元</w:t>
      </w:r>
      <w:bookmarkEnd w:id="0"/>
      <w:bookmarkEnd w:id="1"/>
      <w:r>
        <w:rPr>
          <w:rFonts w:hint="eastAsia" w:ascii="方正仿宋_GBK" w:eastAsia="方正仿宋_GBK"/>
          <w:color w:val="000000"/>
          <w:sz w:val="32"/>
          <w:szCs w:val="32"/>
        </w:rPr>
        <w:t>，主要是教育支出经费拨款减少1202.51万元。</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楷体_GBK" w:eastAsia="方正楷体_GBK"/>
          <w:color w:val="000000"/>
          <w:sz w:val="32"/>
          <w:szCs w:val="32"/>
        </w:rPr>
        <w:t>（二）支出预算：</w:t>
      </w:r>
      <w:r>
        <w:rPr>
          <w:rFonts w:hint="eastAsia" w:ascii="方正仿宋_GBK" w:eastAsia="方正仿宋_GBK"/>
          <w:color w:val="000000"/>
          <w:sz w:val="32"/>
          <w:szCs w:val="32"/>
        </w:rPr>
        <w:t>2026年年初预算数4329.2万元，其中：教育支出3973.25万元，社会保障和就业支出304.79万元，卫生健康支出24.66万元，住房保障支出26.51万元。支出较去年</w:t>
      </w:r>
      <w:bookmarkStart w:id="2" w:name="OLE_LINK10"/>
      <w:bookmarkStart w:id="3" w:name="OLE_LINK11"/>
      <w:r>
        <w:rPr>
          <w:rFonts w:hint="eastAsia" w:ascii="方正仿宋_GBK" w:eastAsia="方正仿宋_GBK"/>
          <w:color w:val="000000"/>
          <w:sz w:val="32"/>
          <w:szCs w:val="32"/>
        </w:rPr>
        <w:t>减少</w:t>
      </w:r>
      <w:bookmarkEnd w:id="2"/>
      <w:bookmarkEnd w:id="3"/>
      <w:r>
        <w:rPr>
          <w:rFonts w:hint="eastAsia" w:ascii="方正仿宋_GBK" w:eastAsia="方正仿宋_GBK"/>
          <w:color w:val="000000"/>
          <w:sz w:val="32"/>
          <w:szCs w:val="32"/>
        </w:rPr>
        <w:t>1175.47万元，主要是项目支出</w:t>
      </w:r>
      <w:bookmarkStart w:id="4" w:name="OLE_LINK13"/>
      <w:bookmarkStart w:id="5" w:name="OLE_LINK12"/>
      <w:r>
        <w:rPr>
          <w:rFonts w:hint="eastAsia" w:ascii="方正仿宋_GBK" w:eastAsia="方正仿宋_GBK"/>
          <w:color w:val="000000"/>
          <w:sz w:val="32"/>
          <w:szCs w:val="32"/>
        </w:rPr>
        <w:t>减少</w:t>
      </w:r>
      <w:bookmarkEnd w:id="4"/>
      <w:bookmarkEnd w:id="5"/>
      <w:r>
        <w:rPr>
          <w:rFonts w:hint="eastAsia" w:ascii="方正仿宋_GBK" w:eastAsia="方正仿宋_GBK"/>
          <w:color w:val="000000"/>
          <w:sz w:val="32"/>
          <w:szCs w:val="32"/>
        </w:rPr>
        <w:t>1348.09万元。</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黑体_GBK" w:eastAsia="方正黑体_GBK"/>
          <w:color w:val="000000"/>
          <w:sz w:val="32"/>
          <w:szCs w:val="32"/>
        </w:rPr>
        <w:t>三、部门预算情况说明</w:t>
      </w:r>
    </w:p>
    <w:p>
      <w:pPr>
        <w:pStyle w:val="4"/>
        <w:shd w:val="clear" w:color="auto" w:fill="FFFFFF"/>
        <w:spacing w:before="0" w:beforeAutospacing="0" w:after="0" w:afterAutospacing="0" w:line="420" w:lineRule="atLeast"/>
        <w:ind w:firstLine="480"/>
        <w:jc w:val="both"/>
        <w:rPr>
          <w:rFonts w:hint="eastAsia" w:ascii="方正仿宋_GBK" w:eastAsia="方正仿宋_GBK"/>
          <w:color w:val="000000"/>
          <w:sz w:val="32"/>
          <w:szCs w:val="32"/>
          <w:lang w:eastAsia="zh-CN"/>
        </w:rPr>
      </w:pPr>
      <w:r>
        <w:rPr>
          <w:rFonts w:hint="eastAsia" w:ascii="方正仿宋_GBK" w:eastAsia="方正仿宋_GBK"/>
          <w:color w:val="000000"/>
          <w:sz w:val="32"/>
          <w:szCs w:val="32"/>
        </w:rPr>
        <w:t>2026年一般公共预算财政拨款收入4329.21万元，一般公共预算财政拨款支出4329.21万元，比2025年减少1175.47万元。其中：基本支出1176.24万元，比2025年增加172.62万元，主要原因是2026年新增4名公务员，基本支出年初预算较上年增加。</w:t>
      </w:r>
      <w:r>
        <w:rPr>
          <w:rFonts w:hint="eastAsia" w:ascii="方正仿宋_GBK" w:eastAsia="方正仿宋_GBK"/>
          <w:color w:val="000000"/>
          <w:sz w:val="32"/>
          <w:szCs w:val="32"/>
          <w:lang w:eastAsia="zh-CN"/>
        </w:rPr>
        <w:t>主要用于</w:t>
      </w:r>
      <w:r>
        <w:rPr>
          <w:rFonts w:hint="eastAsia" w:ascii="仿宋_GB2312" w:hAnsi="仿宋_GB2312" w:eastAsia="仿宋_GB2312" w:cs="仿宋_GB2312"/>
          <w:sz w:val="32"/>
        </w:rPr>
        <w:t>主要用于</w:t>
      </w:r>
      <w:r>
        <w:rPr>
          <w:rFonts w:ascii="仿宋_GB2312" w:hAnsi="仿宋_GB2312" w:eastAsia="仿宋_GB2312" w:cs="仿宋_GB2312"/>
          <w:sz w:val="32"/>
        </w:rPr>
        <w:t>保障</w:t>
      </w:r>
      <w:r>
        <w:rPr>
          <w:rFonts w:hint="eastAsia" w:ascii="仿宋_GB2312" w:hAnsi="仿宋_GB2312" w:eastAsia="仿宋_GB2312" w:cs="仿宋_GB2312"/>
          <w:sz w:val="32"/>
        </w:rPr>
        <w:t>在职人员工资福利及社会保险缴费，</w:t>
      </w:r>
      <w:r>
        <w:rPr>
          <w:rFonts w:ascii="仿宋_GB2312" w:hAnsi="仿宋_GB2312" w:eastAsia="仿宋_GB2312" w:cs="仿宋_GB2312"/>
          <w:sz w:val="32"/>
        </w:rPr>
        <w:t>退休人员</w:t>
      </w:r>
      <w:r>
        <w:rPr>
          <w:rFonts w:hint="eastAsia" w:ascii="仿宋_GB2312" w:hAnsi="仿宋_GB2312" w:eastAsia="仿宋_GB2312" w:cs="仿宋_GB2312"/>
          <w:sz w:val="32"/>
        </w:rPr>
        <w:t>补助等，保障部门正常运转的各项商品服务支出；</w:t>
      </w:r>
      <w:r>
        <w:rPr>
          <w:rFonts w:hint="eastAsia" w:ascii="方正仿宋_GBK" w:eastAsia="方正仿宋_GBK"/>
          <w:color w:val="000000"/>
          <w:sz w:val="32"/>
          <w:szCs w:val="32"/>
        </w:rPr>
        <w:t>项目支出3152.97万元，比2025年减少1348.09万元，主要原因是维修及助学金等支出项目预算较上年减少</w:t>
      </w:r>
      <w:r>
        <w:rPr>
          <w:rFonts w:hint="eastAsia" w:ascii="方正仿宋_GBK" w:eastAsia="方正仿宋_GBK"/>
          <w:color w:val="000000"/>
          <w:sz w:val="32"/>
          <w:szCs w:val="32"/>
          <w:lang w:eastAsia="zh-CN"/>
        </w:rPr>
        <w:t>，</w:t>
      </w:r>
      <w:r>
        <w:rPr>
          <w:rFonts w:hint="eastAsia" w:ascii="仿宋_GB2312" w:hAnsi="仿宋_GB2312" w:eastAsia="仿宋_GB2312" w:cs="仿宋_GB2312"/>
          <w:sz w:val="32"/>
        </w:rPr>
        <w:t>主要用于</w:t>
      </w:r>
      <w:r>
        <w:rPr>
          <w:rFonts w:hint="eastAsia" w:ascii="仿宋_GB2312" w:hAnsi="仿宋_GB2312" w:eastAsia="仿宋_GB2312" w:cs="仿宋_GB2312"/>
          <w:sz w:val="32"/>
          <w:lang w:val="en-US" w:eastAsia="zh-CN"/>
        </w:rPr>
        <w:t>学生资助、营养改善计划</w:t>
      </w:r>
      <w:r>
        <w:rPr>
          <w:rFonts w:hint="eastAsia" w:ascii="仿宋_GB2312" w:hAnsi="仿宋_GB2312" w:eastAsia="仿宋_GB2312" w:cs="仿宋_GB2312"/>
          <w:sz w:val="32"/>
        </w:rPr>
        <w:t>等重点工作。</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仿宋_GBK" w:eastAsia="方正仿宋_GBK"/>
          <w:color w:val="000000"/>
          <w:sz w:val="32"/>
          <w:szCs w:val="32"/>
        </w:rPr>
        <w:t>巫山县教育委员会（本级）2026年无使用政府性基金预算拨款安排的支出</w:t>
      </w:r>
      <w:r>
        <w:rPr>
          <w:rFonts w:hint="eastAsia" w:ascii="方正楷体_GBK" w:eastAsia="方正楷体_GBK"/>
          <w:color w:val="000000"/>
          <w:sz w:val="32"/>
          <w:szCs w:val="32"/>
        </w:rPr>
        <w:t>。</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黑体_GBK" w:eastAsia="方正黑体_GBK"/>
          <w:color w:val="000000"/>
          <w:sz w:val="32"/>
          <w:szCs w:val="32"/>
        </w:rPr>
        <w:t>四、“三公”经费情况说明</w:t>
      </w:r>
    </w:p>
    <w:p>
      <w:pPr>
        <w:pStyle w:val="4"/>
        <w:shd w:val="clear" w:color="auto" w:fill="FFFFFF"/>
        <w:spacing w:before="0" w:beforeAutospacing="0" w:after="0" w:afterAutospacing="0" w:line="420" w:lineRule="atLeast"/>
        <w:ind w:firstLine="480"/>
        <w:jc w:val="both"/>
        <w:rPr>
          <w:rFonts w:hint="eastAsia" w:ascii="方正仿宋_GBK" w:hAnsi="仿宋_GB2312" w:eastAsia="方正仿宋_GBK" w:cs="仿宋_GB2312"/>
          <w:sz w:val="32"/>
        </w:rPr>
      </w:pPr>
      <w:r>
        <w:rPr>
          <w:rFonts w:hint="eastAsia" w:ascii="方正仿宋_GBK" w:eastAsia="方正仿宋_GBK"/>
          <w:color w:val="000000"/>
          <w:sz w:val="32"/>
          <w:szCs w:val="32"/>
        </w:rPr>
        <w:t>2026年“三公”经费预算11万元，比2025年增加5万元。其中：</w:t>
      </w:r>
      <w:r>
        <w:rPr>
          <w:rFonts w:hint="eastAsia" w:ascii="仿宋_GB2312" w:hAnsi="仿宋_GB2312" w:eastAsia="仿宋_GB2312" w:cs="仿宋_GB2312"/>
          <w:sz w:val="32"/>
        </w:rPr>
        <w:t>因公出国（境）费用</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w:t>
      </w:r>
      <w:r>
        <w:rPr>
          <w:rFonts w:hint="eastAsia" w:ascii="方正仿宋_GBK" w:hAnsi="仿宋_GB2312" w:eastAsia="方正仿宋_GBK" w:cs="仿宋_GB2312"/>
          <w:sz w:val="32"/>
        </w:rPr>
        <w:t>与上年持平</w:t>
      </w:r>
      <w:r>
        <w:rPr>
          <w:rFonts w:hint="eastAsia" w:ascii="方正仿宋_GBK" w:hAnsi="仿宋_GB2312" w:eastAsia="方正仿宋_GBK" w:cs="仿宋_GB2312"/>
          <w:sz w:val="32"/>
          <w:lang w:eastAsia="zh-CN"/>
        </w:rPr>
        <w:t>；</w:t>
      </w:r>
      <w:r>
        <w:rPr>
          <w:rFonts w:hint="eastAsia" w:ascii="方正仿宋_GBK" w:eastAsia="方正仿宋_GBK"/>
          <w:color w:val="000000"/>
          <w:sz w:val="32"/>
          <w:szCs w:val="32"/>
        </w:rPr>
        <w:t>公务接待费5万元，比2025年增</w:t>
      </w:r>
      <w:bookmarkStart w:id="6" w:name="_GoBack"/>
      <w:bookmarkEnd w:id="6"/>
      <w:r>
        <w:rPr>
          <w:rFonts w:hint="eastAsia" w:ascii="方正仿宋_GBK" w:eastAsia="方正仿宋_GBK"/>
          <w:color w:val="000000"/>
          <w:sz w:val="32"/>
          <w:szCs w:val="32"/>
        </w:rPr>
        <w:t>加5万元，主要原因是公务接待增加；公务用车运行维护费6万元，</w:t>
      </w:r>
      <w:r>
        <w:rPr>
          <w:rFonts w:hint="eastAsia" w:ascii="方正仿宋_GBK" w:hAnsi="仿宋_GB2312" w:eastAsia="方正仿宋_GBK" w:cs="仿宋_GB2312"/>
          <w:sz w:val="32"/>
        </w:rPr>
        <w:t>比2025年无增减，与上年持平。</w:t>
      </w:r>
      <w:r>
        <w:rPr>
          <w:rFonts w:ascii="仿宋_GB2312" w:hAnsi="仿宋_GB2312" w:eastAsia="仿宋_GB2312" w:cs="仿宋_GB2312"/>
          <w:sz w:val="32"/>
        </w:rPr>
        <w:t>公务</w:t>
      </w:r>
      <w:r>
        <w:rPr>
          <w:rFonts w:hint="eastAsia" w:ascii="仿宋_GB2312" w:hAnsi="仿宋_GB2312" w:eastAsia="仿宋_GB2312" w:cs="仿宋_GB2312"/>
          <w:sz w:val="32"/>
        </w:rPr>
        <w:t>用车</w:t>
      </w:r>
      <w:r>
        <w:rPr>
          <w:rFonts w:ascii="仿宋_GB2312" w:hAnsi="仿宋_GB2312" w:eastAsia="仿宋_GB2312" w:cs="仿宋_GB2312"/>
          <w:sz w:val="32"/>
        </w:rPr>
        <w:t>购置费</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与</w:t>
      </w:r>
      <w:r>
        <w:rPr>
          <w:rFonts w:hint="eastAsia" w:ascii="仿宋_GB2312" w:hAnsi="仿宋_GB2312" w:eastAsia="仿宋_GB2312" w:cs="仿宋_GB2312"/>
          <w:sz w:val="32"/>
          <w:lang w:eastAsia="zh-CN"/>
        </w:rPr>
        <w:t>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持平</w:t>
      </w:r>
      <w:r>
        <w:rPr>
          <w:rFonts w:hint="eastAsia" w:ascii="仿宋_GB2312" w:hAnsi="仿宋_GB2312" w:eastAsia="仿宋_GB2312" w:cs="仿宋_GB2312"/>
          <w:sz w:val="32"/>
        </w:rPr>
        <w:t>。</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黑体_GBK" w:eastAsia="方正黑体_GBK"/>
          <w:color w:val="000000"/>
          <w:sz w:val="32"/>
          <w:szCs w:val="32"/>
        </w:rPr>
        <w:t>五、其他重要事项的情况说明</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楷体_GBK" w:eastAsia="方正楷体_GBK"/>
          <w:color w:val="000000"/>
          <w:sz w:val="32"/>
          <w:szCs w:val="32"/>
        </w:rPr>
        <w:t>1.机关运行经费</w:t>
      </w:r>
      <w:r>
        <w:rPr>
          <w:rFonts w:hint="eastAsia" w:ascii="方正仿宋_GBK" w:eastAsia="方正仿宋_GBK"/>
          <w:color w:val="000000"/>
          <w:sz w:val="32"/>
          <w:szCs w:val="32"/>
        </w:rPr>
        <w:t>。2026年一般公共预算财政拨款运行经费718.26万元，比上年增加85.73万元，主要原因为增加委托业务费及差旅费等。主要用于办公费、印刷费、邮电费、水电费、物管费、差旅费、会议费、培训费及其他商品和服务支出等。</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楷体_GBK" w:eastAsia="方正楷体_GBK"/>
          <w:color w:val="000000"/>
          <w:sz w:val="32"/>
          <w:szCs w:val="32"/>
        </w:rPr>
        <w:t>2.政府采购情况</w:t>
      </w:r>
      <w:r>
        <w:rPr>
          <w:rFonts w:hint="eastAsia" w:ascii="方正仿宋_GBK" w:eastAsia="方正仿宋_GBK"/>
          <w:color w:val="000000"/>
          <w:sz w:val="32"/>
          <w:szCs w:val="32"/>
        </w:rPr>
        <w:t>。所属各预算单位政府采购预算总额507.74万元：政府采购货物预算507.74万元、政府采购工程预算0万元、政府采购服务预算0万元；其中一般公共预算拨款政府采购507.74万元：政府采购货物预算507.74万元、政府采购工程预算0万元、政府采购服务预算0万元。</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楷体_GBK" w:eastAsia="方正楷体_GBK"/>
          <w:color w:val="000000"/>
          <w:sz w:val="32"/>
          <w:szCs w:val="32"/>
        </w:rPr>
        <w:t>3.绩效目标设置情况</w:t>
      </w:r>
      <w:r>
        <w:rPr>
          <w:rFonts w:hint="eastAsia" w:ascii="方正仿宋_GBK" w:eastAsia="方正仿宋_GBK"/>
          <w:color w:val="000000"/>
          <w:sz w:val="32"/>
          <w:szCs w:val="32"/>
        </w:rPr>
        <w:t>。2026年项目支出均实行了绩效目标管理，涉及一般公共预算当年财政拨款3152.97万元。</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楷体_GBK" w:eastAsia="方正楷体_GBK"/>
          <w:color w:val="000000"/>
          <w:sz w:val="32"/>
          <w:szCs w:val="32"/>
        </w:rPr>
        <w:t>4.国有资产占有使用情况</w:t>
      </w:r>
      <w:r>
        <w:rPr>
          <w:rFonts w:hint="eastAsia" w:ascii="方正仿宋_GBK" w:eastAsia="方正仿宋_GBK"/>
          <w:color w:val="000000"/>
          <w:sz w:val="32"/>
          <w:szCs w:val="32"/>
        </w:rPr>
        <w:t>。截止2025年12月，所属各预算单位共有车辆1辆，其中一般公务用车1辆、执勤执法用车0辆。202</w:t>
      </w:r>
      <w:r>
        <w:rPr>
          <w:rFonts w:hint="eastAsia" w:ascii="方正仿宋_GBK" w:eastAsia="方正仿宋_GBK"/>
          <w:color w:val="000000"/>
          <w:sz w:val="32"/>
          <w:szCs w:val="32"/>
          <w:lang w:val="en-US" w:eastAsia="zh-CN"/>
        </w:rPr>
        <w:t>6</w:t>
      </w:r>
      <w:r>
        <w:rPr>
          <w:rFonts w:hint="eastAsia" w:ascii="方正仿宋_GBK" w:eastAsia="方正仿宋_GBK"/>
          <w:color w:val="000000"/>
          <w:sz w:val="32"/>
          <w:szCs w:val="32"/>
        </w:rPr>
        <w:t>年一般公共预算安排购置车辆0辆，其中一般公务用车0辆、执勤执法用车0辆。</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黑体_GBK" w:eastAsia="方正黑体_GBK"/>
          <w:color w:val="000000"/>
          <w:sz w:val="32"/>
          <w:szCs w:val="32"/>
        </w:rPr>
        <w:t>专业性名词解释</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仿宋_GBK" w:eastAsia="方正仿宋_GBK"/>
          <w:color w:val="000000"/>
          <w:sz w:val="32"/>
          <w:szCs w:val="32"/>
        </w:rPr>
        <w:t>（一）财政拨款收入：指本年度从本级财政部门取得的财政拨款，包括一般公共预算财政拨款和政府性基金预算财政拨款。</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仿宋_GBK" w:eastAsia="方正仿宋_GBK"/>
          <w:color w:val="000000"/>
          <w:sz w:val="32"/>
          <w:szCs w:val="32"/>
        </w:rPr>
        <w:t>（二）其他收入：指单位取得的除“财政拨款收入”、“事业收入”、“经营收入”等以外的收入。</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仿宋_GBK" w:eastAsia="方正仿宋_GBK"/>
          <w:color w:val="000000"/>
          <w:sz w:val="32"/>
          <w:szCs w:val="32"/>
        </w:rPr>
        <w:t>（三）基本支出：指为保障机构正常运转、完成日常工作任务而发生的人员经费和公用经费。</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仿宋_GBK" w:eastAsia="方正仿宋_GBK"/>
          <w:color w:val="000000"/>
          <w:sz w:val="32"/>
          <w:szCs w:val="32"/>
        </w:rPr>
        <w:t>（四）项目支出：指在基本支出之外为完成特定行政任务和事业发展目标所发生的支出。</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仿宋_GBK" w:eastAsia="方正仿宋_GBK"/>
          <w:color w:val="000000"/>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shd w:val="clear" w:color="auto" w:fill="FFFFFF"/>
        <w:spacing w:before="0" w:beforeAutospacing="0" w:after="0" w:afterAutospacing="0" w:line="420" w:lineRule="atLeast"/>
        <w:ind w:firstLine="480"/>
        <w:jc w:val="both"/>
        <w:rPr>
          <w:rFonts w:ascii="方正仿宋_GBK" w:eastAsia="方正仿宋_GBK"/>
          <w:color w:val="000000"/>
          <w:sz w:val="32"/>
          <w:szCs w:val="32"/>
        </w:rPr>
      </w:pPr>
      <w:r>
        <w:rPr>
          <w:rFonts w:hint="eastAsia" w:ascii="方正仿宋_GBK" w:eastAsia="方正仿宋_GBK"/>
          <w:color w:val="000000"/>
          <w:sz w:val="32"/>
          <w:szCs w:val="32"/>
        </w:rPr>
        <w:t>联系方式： 023-57683172</w:t>
      </w:r>
      <w:r>
        <w:rPr>
          <w:rFonts w:hint="eastAsia" w:ascii="方正仿宋_GBK" w:eastAsia="方正仿宋_GBK"/>
          <w:color w:val="000000"/>
          <w:sz w:val="32"/>
          <w:szCs w:val="32"/>
          <w:lang w:val="en-US" w:eastAsia="zh-CN"/>
        </w:rPr>
        <w:t xml:space="preserve">  </w:t>
      </w:r>
      <w:r>
        <w:rPr>
          <w:rFonts w:hint="eastAsia" w:ascii="方正仿宋_GBK" w:eastAsia="方正仿宋_GBK"/>
          <w:color w:val="000000"/>
          <w:sz w:val="32"/>
          <w:szCs w:val="32"/>
        </w:rPr>
        <w:t>部门预算公开联系人：冯灿</w:t>
      </w:r>
    </w:p>
    <w:p>
      <w:pPr>
        <w:jc w:val="center"/>
        <w:rPr>
          <w:rFonts w:ascii="方正小标宋_GBK" w:eastAsia="方正小标宋_GBK"/>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7DB1"/>
    <w:rsid w:val="00017DB1"/>
    <w:rsid w:val="0016051A"/>
    <w:rsid w:val="005C2918"/>
    <w:rsid w:val="00756F8C"/>
    <w:rsid w:val="007F5087"/>
    <w:rsid w:val="00806CE6"/>
    <w:rsid w:val="009C4827"/>
    <w:rsid w:val="00A86513"/>
    <w:rsid w:val="00BB5640"/>
    <w:rsid w:val="00CA45E5"/>
    <w:rsid w:val="00D01DDA"/>
    <w:rsid w:val="00D62218"/>
    <w:rsid w:val="00E657EB"/>
    <w:rsid w:val="00EE45DD"/>
    <w:rsid w:val="1BBF3A01"/>
    <w:rsid w:val="3559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389</Words>
  <Characters>2221</Characters>
  <Lines>18</Lines>
  <Paragraphs>5</Paragraphs>
  <TotalTime>3</TotalTime>
  <ScaleCrop>false</ScaleCrop>
  <LinksUpToDate>false</LinksUpToDate>
  <CharactersWithSpaces>2605</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2025-03-14T01:06:00Z</dcterms:created>
  <dc:creator>PC</dc:creator>
  <cp:lastModifiedBy>Administrator</cp:lastModifiedBy>
  <dcterms:modified xsi:type="dcterms:W3CDTF">2026-02-04T01:59:42Z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