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right="1926" w:rightChars="917"/>
        <w:jc w:val="distribute"/>
        <w:rPr>
          <w:rFonts w:hint="default" w:ascii="Times New Roman" w:hAnsi="Times New Roman" w:eastAsia="方正小标宋简体" w:cs="Times New Roman"/>
          <w:b/>
          <w:color w:val="FF0000"/>
          <w:w w:val="90"/>
          <w:sz w:val="72"/>
          <w:szCs w:val="72"/>
          <w:lang w:val="en-US" w:eastAsia="zh-CN"/>
        </w:rPr>
      </w:pPr>
      <w:r>
        <w:rPr>
          <w:rFonts w:hint="default" w:ascii="Times New Roman" w:hAnsi="Times New Roman" w:eastAsia="方正小标宋简体" w:cs="Times New Roman"/>
          <w:b/>
          <w:color w:val="FF0000"/>
          <w:w w:val="90"/>
          <w:sz w:val="72"/>
          <w:szCs w:val="72"/>
          <w:lang w:val="en-US" w:eastAsia="zh-CN"/>
        </w:rPr>
        <mc:AlternateContent>
          <mc:Choice Requires="wps">
            <w:drawing>
              <wp:anchor distT="45720" distB="45720" distL="114300" distR="114300" simplePos="0" relativeHeight="251660288" behindDoc="0" locked="0" layoutInCell="1" allowOverlap="1">
                <wp:simplePos x="0" y="0"/>
                <wp:positionH relativeFrom="column">
                  <wp:posOffset>4631690</wp:posOffset>
                </wp:positionH>
                <wp:positionV relativeFrom="paragraph">
                  <wp:posOffset>227965</wp:posOffset>
                </wp:positionV>
                <wp:extent cx="1262380" cy="1619885"/>
                <wp:effectExtent l="0" t="0" r="13970" b="18415"/>
                <wp:wrapSquare wrapText="bothSides"/>
                <wp:docPr id="217" name="文本框 217"/>
                <wp:cNvGraphicFramePr/>
                <a:graphic xmlns:a="http://schemas.openxmlformats.org/drawingml/2006/main">
                  <a:graphicData uri="http://schemas.microsoft.com/office/word/2010/wordprocessingShape">
                    <wps:wsp>
                      <wps:cNvSpPr txBox="true">
                        <a:spLocks noChangeArrowheads="true"/>
                      </wps:cNvSpPr>
                      <wps:spPr bwMode="auto">
                        <a:xfrm>
                          <a:off x="0" y="0"/>
                          <a:ext cx="1262380" cy="1404620"/>
                        </a:xfrm>
                        <a:prstGeom prst="rect">
                          <a:avLst/>
                        </a:prstGeom>
                        <a:solidFill>
                          <a:srgbClr val="FFFFFF"/>
                        </a:solidFill>
                        <a:ln w="9525">
                          <a:noFill/>
                          <a:miter lim="800000"/>
                        </a:ln>
                        <a:effectLst/>
                      </wps:spPr>
                      <wps:txbx>
                        <w:txbxContent>
                          <w:p>
                            <w:pPr>
                              <w:rPr>
                                <w:rFonts w:ascii="方正小标宋简体" w:eastAsia="方正小标宋简体"/>
                                <w:b/>
                                <w:color w:val="FF0000"/>
                                <w:sz w:val="84"/>
                                <w:szCs w:val="84"/>
                              </w:rPr>
                            </w:pPr>
                            <w:r>
                              <w:rPr>
                                <w:rFonts w:hint="eastAsia" w:ascii="方正小标宋简体" w:eastAsia="方正小标宋简体"/>
                                <w:bCs/>
                                <w:color w:val="FF0000"/>
                                <w:w w:val="76"/>
                                <w:sz w:val="110"/>
                                <w:szCs w:val="110"/>
                              </w:rPr>
                              <w:t>文件</w:t>
                            </w:r>
                          </w:p>
                        </w:txbxContent>
                      </wps:txbx>
                      <wps:bodyPr rot="0" vert="horz" wrap="square" lIns="91440" tIns="45720" rIns="91440" bIns="45720" anchor="t" anchorCtr="false">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64.7pt;margin-top:17.95pt;height:127.55pt;width:99.4pt;mso-wrap-distance-bottom:3.6pt;mso-wrap-distance-left:9pt;mso-wrap-distance-right:9pt;mso-wrap-distance-top:3.6pt;z-index:251660288;mso-width-relative:page;mso-height-relative:margin;mso-height-percent:200;" fillcolor="#FFFFFF" filled="t" stroked="f" coordsize="21600,21600" o:gfxdata="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DR1ksv2AAAAAoBAAAPAAAAAAAAAAEAIAAAADgA&#10;AABkcnMvZG93bnJldi54bWxQSwECFAAUAAAACACHTuJAaxpjvSwCAAAhBAAADgAAAAAAAAABACAA&#10;AAA9AQAAZHJzL2Uyb0RvYy54bWxQSwUGAAAAAAYABgBZAQAA2wUAAAAA&#10;">
                <v:fill on="t" focussize="0,0"/>
                <v:stroke on="f" miterlimit="8" joinstyle="miter"/>
                <v:imagedata o:title=""/>
                <o:lock v:ext="edit" aspectratio="f"/>
                <v:textbox style="mso-fit-shape-to-text:t;">
                  <w:txbxContent>
                    <w:p>
                      <w:pPr>
                        <w:rPr>
                          <w:rFonts w:ascii="方正小标宋简体" w:eastAsia="方正小标宋简体"/>
                          <w:b/>
                          <w:color w:val="FF0000"/>
                          <w:sz w:val="84"/>
                          <w:szCs w:val="84"/>
                        </w:rPr>
                      </w:pPr>
                      <w:r>
                        <w:rPr>
                          <w:rFonts w:hint="eastAsia" w:ascii="方正小标宋简体" w:eastAsia="方正小标宋简体"/>
                          <w:bCs/>
                          <w:color w:val="FF0000"/>
                          <w:w w:val="76"/>
                          <w:sz w:val="110"/>
                          <w:szCs w:val="110"/>
                        </w:rPr>
                        <w:t>文件</w:t>
                      </w:r>
                    </w:p>
                  </w:txbxContent>
                </v:textbox>
                <w10:wrap type="square"/>
              </v:shape>
            </w:pict>
          </mc:Fallback>
        </mc:AlternateContent>
      </w:r>
      <w:r>
        <w:rPr>
          <w:rFonts w:hint="eastAsia" w:ascii="Times New Roman" w:hAnsi="Times New Roman" w:eastAsia="方正小标宋简体" w:cs="Times New Roman"/>
          <w:b/>
          <w:color w:val="FF0000"/>
          <w:w w:val="90"/>
          <w:sz w:val="72"/>
          <w:szCs w:val="72"/>
          <w:lang w:val="en-US" w:eastAsia="zh-CN"/>
        </w:rPr>
        <w:t>巫山县科学技术局</w:t>
      </w:r>
    </w:p>
    <w:p>
      <w:pPr>
        <w:spacing w:line="800" w:lineRule="exact"/>
        <w:ind w:right="1926" w:rightChars="917"/>
        <w:jc w:val="distribute"/>
        <w:rPr>
          <w:rFonts w:hint="eastAsia" w:ascii="Times New Roman" w:hAnsi="Times New Roman" w:eastAsia="方正小标宋简体" w:cs="Times New Roman"/>
          <w:b/>
          <w:color w:val="FF0000"/>
          <w:w w:val="90"/>
          <w:sz w:val="72"/>
          <w:szCs w:val="72"/>
          <w:lang w:val="en-US" w:eastAsia="zh-CN"/>
        </w:rPr>
      </w:pPr>
      <w:r>
        <w:rPr>
          <w:rFonts w:hint="eastAsia" w:ascii="Times New Roman" w:hAnsi="Times New Roman" w:eastAsia="方正小标宋简体" w:cs="Times New Roman"/>
          <w:b/>
          <w:color w:val="FF0000"/>
          <w:w w:val="90"/>
          <w:sz w:val="72"/>
          <w:szCs w:val="72"/>
          <w:lang w:val="en-US" w:eastAsia="zh-CN"/>
        </w:rPr>
        <w:t>中共巫山县委宣传部</w:t>
      </w:r>
    </w:p>
    <w:p>
      <w:pPr>
        <w:spacing w:line="800" w:lineRule="exact"/>
        <w:ind w:right="1926" w:rightChars="917"/>
        <w:jc w:val="distribute"/>
        <w:rPr>
          <w:rFonts w:hint="default" w:ascii="Times New Roman" w:hAnsi="Times New Roman" w:eastAsia="方正小标宋简体" w:cs="Times New Roman"/>
          <w:b/>
          <w:color w:val="FF0000"/>
          <w:w w:val="90"/>
          <w:sz w:val="72"/>
          <w:szCs w:val="72"/>
          <w:lang w:val="en-US" w:eastAsia="zh-CN"/>
        </w:rPr>
      </w:pPr>
      <w:r>
        <w:rPr>
          <w:rFonts w:hint="eastAsia" w:ascii="Times New Roman" w:hAnsi="Times New Roman" w:eastAsia="方正小标宋简体" w:cs="Times New Roman"/>
          <w:b/>
          <w:color w:val="FF0000"/>
          <w:w w:val="90"/>
          <w:sz w:val="72"/>
          <w:szCs w:val="72"/>
          <w:lang w:val="en-US" w:eastAsia="zh-CN"/>
        </w:rPr>
        <w:t>巫山县科学技术协会</w:t>
      </w:r>
    </w:p>
    <w:p>
      <w:pPr>
        <w:jc w:val="center"/>
        <w:rPr>
          <w:rFonts w:hint="default" w:ascii="Times New Roman" w:hAnsi="Times New Roman" w:eastAsia="仿宋_GB2312" w:cs="Times New Roman"/>
          <w:sz w:val="32"/>
          <w:szCs w:val="32"/>
        </w:rPr>
      </w:pPr>
    </w:p>
    <w:p>
      <w:pPr>
        <w:snapToGrid w:val="0"/>
        <w:rPr>
          <w:rFonts w:hint="default" w:ascii="Times New Roman" w:hAnsi="Times New Roman" w:eastAsia="仿宋_GB2312" w:cs="Times New Roman"/>
          <w:color w:val="FF0000"/>
          <w:sz w:val="48"/>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default" w:ascii="Times New Roman" w:hAnsi="Times New Roman" w:eastAsia="仿宋_GB2312" w:cs="Times New Roman"/>
          <w:sz w:val="32"/>
          <w:lang w:eastAsia="zh-CN"/>
        </w:rPr>
        <w:t>巫山科局</w:t>
      </w:r>
      <w:r>
        <w:rPr>
          <w:rFonts w:hint="default" w:ascii="Times New Roman" w:hAnsi="Times New Roman" w:eastAsia="仿宋_GB2312" w:cs="Times New Roman"/>
          <w:sz w:val="32"/>
        </w:rPr>
        <w:t>发</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default" w:ascii="Times New Roman" w:hAnsi="Times New Roman" w:eastAsia="方正黑体_GBK" w:cs="Times New Roman"/>
        </w:rPr>
        <mc:AlternateContent>
          <mc:Choice Requires="wps">
            <w:drawing>
              <wp:anchor distT="0" distB="0" distL="114300" distR="114300" simplePos="0" relativeHeight="251661312" behindDoc="0" locked="0" layoutInCell="1" allowOverlap="1">
                <wp:simplePos x="0" y="0"/>
                <wp:positionH relativeFrom="page">
                  <wp:posOffset>784225</wp:posOffset>
                </wp:positionH>
                <wp:positionV relativeFrom="margin">
                  <wp:posOffset>2788920</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1050290" y="3984625"/>
                          <a:ext cx="5615940" cy="0"/>
                        </a:xfrm>
                        <a:prstGeom prst="line">
                          <a:avLst/>
                        </a:prstGeom>
                        <a:ln w="222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61.75pt;margin-top:219.6pt;height:0pt;width:442.2pt;mso-position-horizontal-relative:page;mso-position-vertical-relative:margin;z-index:251661312;mso-width-relative:page;mso-height-relative:page;" filled="f" stroked="t" coordsize="21600,21600" o:gfxdata="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Bi4G+DZAAAADAEAAA8AAAAAAAAAAQAgAAAAOAAA&#10;AGRycy9kb3ducmV2LnhtbFBLAQIUABQAAAAIAIdO4kCIUvu38QEAALQDAAAOAAAAAAAAAAEAIAAA&#10;AD4BAABkcnMvZTJvRG9jLnhtbFBLBQYAAAAABgAGAFkBAACh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关于举办第十二届重庆科普讲解大赛预赛暨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巫山县第四届科普讲解大赛的通知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各乡镇（街道），县级相关部门，各企事业单位：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为贯彻落实新修订的《中华人民共和国科学技术普及法》，全面落实市委办公厅、市政府办公厅《关于新时代进一步加强科学技术普及工作的实施方案》有关要求，加快实施新时代科学普及行动，加强科普能力建设和稳步提升公民科学素质</w:t>
      </w:r>
      <w:r>
        <w:rPr>
          <w:rFonts w:hint="eastAsia" w:ascii="Times New Roman" w:hAnsi="Times New Roman" w:eastAsia="方正仿宋_GBK" w:cs="Times New Roman"/>
          <w:sz w:val="32"/>
          <w:szCs w:val="32"/>
          <w:lang w:eastAsia="zh-CN"/>
        </w:rPr>
        <w:t>，按照</w:t>
      </w:r>
      <w:r>
        <w:rPr>
          <w:rFonts w:hint="eastAsia" w:ascii="Times New Roman" w:hAnsi="Times New Roman" w:eastAsia="方正仿宋_GBK" w:cs="Times New Roman"/>
          <w:sz w:val="32"/>
          <w:szCs w:val="32"/>
          <w:lang w:val="en-US" w:eastAsia="zh-CN"/>
        </w:rPr>
        <w:t>《关于举办第十二届重庆科普讲解大赛的通知》要求，经研究，决定举办第十二届重庆科普讲解大赛预赛暨巫山县第四届科普讲解大赛。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请各参赛单位按照大赛活动方案，全面动员、积极筹备、精心组织，做好赛事工作</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附件：第十二届重庆科普讲解大赛预赛暨巫山县第四届科普讲解大赛活动方案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巫山县科学技术局        中共巫山县委宣传部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巫山县科学技术协会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2025年3月18日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sz w:val="32"/>
          <w:szCs w:val="32"/>
          <w:lang w:val="en-US" w:eastAsia="zh-CN"/>
        </w:rPr>
        <w:sectPr>
          <w:footerReference r:id="rId3" w:type="default"/>
          <w:pgSz w:w="11906" w:h="16838"/>
          <w:pgMar w:top="2098" w:right="1417" w:bottom="1984" w:left="1417"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bookmarkStart w:id="0" w:name="OLE_LINK1"/>
      <w:r>
        <w:rPr>
          <w:rFonts w:hint="eastAsia" w:ascii="方正小标宋_GBK" w:hAnsi="方正小标宋_GBK" w:eastAsia="方正小标宋_GBK" w:cs="方正小标宋_GBK"/>
          <w:sz w:val="44"/>
          <w:szCs w:val="44"/>
          <w:lang w:val="en-US" w:eastAsia="zh-CN"/>
        </w:rPr>
        <w:t>第十二届重庆科普讲解大赛预赛暨巫山县第四届科普讲解大赛活动方案</w:t>
      </w:r>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根据《关于举办第十二届重庆科普讲解大赛的通知》文件要求，结合全市赛事规划及实际情况，现将相关活动方案通知如下：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一、活动名称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第十二届重庆科普讲解大赛</w:t>
      </w:r>
      <w:r>
        <w:rPr>
          <w:rFonts w:hint="eastAsia" w:ascii="Times New Roman" w:hAnsi="Times New Roman" w:eastAsia="方正仿宋_GBK" w:cs="Times New Roman"/>
          <w:sz w:val="32"/>
          <w:szCs w:val="32"/>
          <w:lang w:val="en-US" w:eastAsia="zh-CN"/>
        </w:rPr>
        <w:t>预赛</w:t>
      </w:r>
      <w:r>
        <w:rPr>
          <w:rFonts w:hint="default" w:ascii="Times New Roman" w:hAnsi="Times New Roman" w:eastAsia="方正仿宋_GBK" w:cs="Times New Roman"/>
          <w:sz w:val="32"/>
          <w:szCs w:val="32"/>
          <w:lang w:val="en-US" w:eastAsia="zh-CN"/>
        </w:rPr>
        <w:t>暨巫山县第四届科普讲解大赛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二、活动组织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主办单位：巫山县科学技术局、中共巫山县委宣传部、巫山县科学技术协会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三、参赛对象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通过“创新重庆”完成报名程序的参赛选手，青少年组13人，成人组16人（巫山、云阳、城口）。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四、活动要求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讲解请使用普通话。选手讲解展示内容须具备科学性和普及性，包含科学知识、科学方法、科学思想或科学精神。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比赛设置自主命题讲解，由选手自行确定一个科普内容命题进行讲解。讲解时，选手必须借助多媒体等多种手段辅助进行讲解，丰富舞台效果。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参赛选手于3月1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日17:30前将20秒自我介绍视频素材发送至1259190533@qq.com。视频统一用MP4格式，画面比例16:9，分辨率使用1920×1080；文件不超过100M。</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五、活动安排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（一）活动时间</w:t>
      </w:r>
      <w:r>
        <w:rPr>
          <w:rFonts w:hint="default" w:ascii="Times New Roman" w:hAnsi="Times New Roman" w:eastAsia="方正仿宋_GBK" w:cs="Times New Roman"/>
          <w:sz w:val="32"/>
          <w:szCs w:val="32"/>
          <w:lang w:val="en-US" w:eastAsia="zh-CN"/>
        </w:rPr>
        <w:t>：2025年3月22日（周六）14:00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本次大赛分为两个赛程：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1.赛程一：成人组预赛           14:00-15:20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2.赛程二：青少年组预赛选拔赛   15:30-16:40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（二）活动地点</w:t>
      </w:r>
      <w:r>
        <w:rPr>
          <w:rFonts w:hint="default" w:ascii="Times New Roman" w:hAnsi="Times New Roman" w:eastAsia="方正仿宋_GBK" w:cs="Times New Roman"/>
          <w:sz w:val="32"/>
          <w:szCs w:val="32"/>
          <w:lang w:val="en-US" w:eastAsia="zh-CN"/>
        </w:rPr>
        <w:t>：巫山县融媒体中心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（三）评审嘉宾</w:t>
      </w:r>
      <w:r>
        <w:rPr>
          <w:rFonts w:hint="default" w:ascii="Times New Roman" w:hAnsi="Times New Roman" w:eastAsia="方正仿宋_GBK" w:cs="Times New Roman"/>
          <w:sz w:val="32"/>
          <w:szCs w:val="32"/>
          <w:lang w:val="en-US" w:eastAsia="zh-CN"/>
        </w:rPr>
        <w:t>：5位评委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（四）分数设置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自主命题讲解（100分）。评委分别从内容陈述、表达效果、整体形象三方面进行评分。内容必须包含自然科学、技术知识和社会科学，否则不得分。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1.内容陈述（50分）：要求科学准确、重点突出；层次清楚、合乎逻辑。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2.表达效果（30分）：要求发音标准、吐字清晰；通俗易懂、深入浅出。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3.整体形象（20分）：要求衣着得体、精神饱满；举止大方、自然协调。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（五）时间设</w:t>
      </w:r>
      <w:r>
        <w:rPr>
          <w:rFonts w:hint="eastAsia" w:ascii="方正楷体_GBK" w:hAnsi="方正楷体_GBK" w:eastAsia="方正楷体_GBK" w:cs="方正楷体_GBK"/>
          <w:sz w:val="32"/>
          <w:szCs w:val="32"/>
          <w:lang w:val="en-US" w:eastAsia="zh-CN"/>
        </w:rPr>
        <w:t>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自主命题讲解限时4分钟，不足2分钟扣2分，超时扣1分。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六、活动流程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（一）比赛顺序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选手自行抽签决定比赛顺序。比赛场地提前开放，供选手适应场地。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（二）讲解环节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选手出场时，播放20秒自我介绍视频。该环节不作为比赛评分内容。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（三）打分环节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讲解大赛设专家评委和计时工作人员，共同对大赛环节进行打分。评委不对选手的时间使用情况进行扣分，由计时工作人员进行扣分。专家评委现场打分、亮分和公布成绩，计时工作人员公开计时，现场对选手超时、少时扣分。若遇选手总分数相同，则按最高分高低决定名次，若选手最高分仍相同，则按第二高分高低决定名次，以此类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（四）结果运用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现场公布选手比赛成绩和名次。根据比赛成绩，青少年组推选</w:t>
      </w:r>
      <w:r>
        <w:rPr>
          <w:rFonts w:hint="eastAsia" w:ascii="Times New Roman" w:hAnsi="Times New Roman" w:eastAsia="方正仿宋_GBK" w:cs="Times New Roman"/>
          <w:sz w:val="32"/>
          <w:szCs w:val="32"/>
          <w:lang w:val="en-US" w:eastAsia="zh-CN"/>
        </w:rPr>
        <w:t>前</w:t>
      </w:r>
      <w:r>
        <w:rPr>
          <w:rFonts w:hint="default" w:ascii="Times New Roman" w:hAnsi="Times New Roman" w:eastAsia="方正仿宋_GBK" w:cs="Times New Roman"/>
          <w:sz w:val="32"/>
          <w:szCs w:val="32"/>
          <w:lang w:val="en-US" w:eastAsia="zh-CN"/>
        </w:rPr>
        <w:t>3名参赛选手赴奉节参加预赛，成人组</w:t>
      </w:r>
      <w:r>
        <w:rPr>
          <w:rFonts w:hint="eastAsia" w:ascii="Times New Roman" w:hAnsi="Times New Roman" w:eastAsia="方正仿宋_GBK" w:cs="Times New Roman"/>
          <w:sz w:val="32"/>
          <w:szCs w:val="32"/>
          <w:lang w:val="en-US" w:eastAsia="zh-CN"/>
        </w:rPr>
        <w:t>推选第</w:t>
      </w:r>
      <w:r>
        <w:rPr>
          <w:rFonts w:hint="default" w:ascii="Times New Roman" w:hAnsi="Times New Roman" w:eastAsia="方正仿宋_GBK" w:cs="Times New Roman"/>
          <w:sz w:val="32"/>
          <w:szCs w:val="32"/>
          <w:lang w:val="en-US" w:eastAsia="zh-CN"/>
        </w:rPr>
        <w:t>1名参赛选手参加第十二届重庆科普讲解大赛复赛。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七、奖项设置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成人组设一等奖1名，奖金1000元，二等奖</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名，奖金</w:t>
      </w:r>
      <w:bookmarkStart w:id="1" w:name="_GoBack"/>
      <w:bookmarkEnd w:id="1"/>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00元，三等奖</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名，</w:t>
      </w:r>
      <w:r>
        <w:rPr>
          <w:rFonts w:hint="eastAsia" w:ascii="Times New Roman" w:hAnsi="Times New Roman" w:eastAsia="方正仿宋_GBK" w:cs="Times New Roman"/>
          <w:sz w:val="32"/>
          <w:szCs w:val="32"/>
          <w:lang w:val="en-US" w:eastAsia="zh-CN"/>
        </w:rPr>
        <w:t>奖励</w:t>
      </w:r>
      <w:r>
        <w:rPr>
          <w:rFonts w:hint="default" w:ascii="Times New Roman" w:hAnsi="Times New Roman" w:eastAsia="方正仿宋_GBK" w:cs="Times New Roman"/>
          <w:sz w:val="32"/>
          <w:szCs w:val="32"/>
          <w:lang w:val="en-US" w:eastAsia="zh-CN"/>
        </w:rPr>
        <w:t>新华书店200元面值取书卡1张，并颁发荣誉证书；青少年组参赛选手领取新华书店100元面值取书卡一张。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八、联系方式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易  炼 17725025260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sz w:val="32"/>
          <w:szCs w:val="32"/>
          <w:lang w:val="en-US" w:eastAsia="zh-CN"/>
        </w:rPr>
      </w:pPr>
    </w:p>
    <w:p>
      <w:pPr>
        <w:bidi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62336" behindDoc="0" locked="0" layoutInCell="1" allowOverlap="1">
                <wp:simplePos x="0" y="0"/>
                <wp:positionH relativeFrom="column">
                  <wp:posOffset>10160</wp:posOffset>
                </wp:positionH>
                <wp:positionV relativeFrom="paragraph">
                  <wp:posOffset>326390</wp:posOffset>
                </wp:positionV>
                <wp:extent cx="549846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9846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8pt;margin-top:25.7pt;height:0pt;width:432.95pt;z-index:251662336;mso-width-relative:page;mso-height-relative:page;" filled="f" stroked="t" coordsize="21600,21600" o:gfxdata="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DGzl70wAAAAcBAAAP&#10;AAAAAAAAAAEAIAAAADgAAABkcnMvZG93bnJldi54bWxQSwECFAAUAAAACACHTuJAqOc89s4BAABx&#10;AwAADgAAAAAAAAABACAAAAA4AQAAZHJzL2Uyb0RvYy54bWxQSwUGAAAAAAYABgBZAQAAeAUAAAAA&#10;">
                <v:fill on="f" focussize="0,0"/>
                <v:stroke weight="0.5pt" color="#000000" miterlimit="8" joinstyle="miter"/>
                <v:imagedata o:title=""/>
                <o:lock v:ext="edit" aspectratio="f"/>
              </v:line>
            </w:pict>
          </mc:Fallback>
        </mc:AlternateContent>
      </w:r>
    </w:p>
    <w:p>
      <w:pPr>
        <w:spacing w:line="500" w:lineRule="exact"/>
        <w:ind w:firstLine="397" w:firstLineChars="142"/>
        <w:jc w:val="left"/>
        <w:rPr>
          <w:rFonts w:hint="default"/>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383540</wp:posOffset>
                </wp:positionV>
                <wp:extent cx="553593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53593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pt;margin-top:30.2pt;height:0pt;width:435.9pt;mso-position-horizontal-relative:margin;z-index:251663360;mso-width-relative:page;mso-height-relative:page;" filled="f" stroked="t" coordsize="21600,21600" o:gfxdata="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ohg9S0wAAAAYBAAAPAAAA&#10;AAAAAAEAIAAAADgAAABkcnMvZG93bnJldi54bWxQSwECFAAUAAAACACHTuJAdD8tS8sBAABxAwAA&#10;DgAAAAAAAAABACAAAAA4AQAAZHJzL2Uyb0RvYy54bWxQSwUGAAAAAAYABgBZAQAAdQUAAAAA&#10;">
                <v:fill on="f" focussize="0,0"/>
                <v:stroke weight="0.5pt" color="#000000" miterlimit="8" joinstyle="miter"/>
                <v:imagedata o:title=""/>
                <o:lock v:ext="edit" aspectratio="f"/>
              </v:line>
            </w:pict>
          </mc:Fallback>
        </mc:AlternateContent>
      </w:r>
      <w:r>
        <w:rPr>
          <w:rFonts w:hint="default" w:ascii="Times New Roman" w:hAnsi="Times New Roman" w:eastAsia="方正仿宋_GBK" w:cs="Times New Roman"/>
          <w:sz w:val="28"/>
          <w:szCs w:val="28"/>
          <w:lang w:eastAsia="zh-CN"/>
        </w:rPr>
        <w:t>巫山县科学技术局办公室</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18</w:t>
      </w:r>
      <w:r>
        <w:rPr>
          <w:rFonts w:hint="default" w:ascii="Times New Roman" w:hAnsi="Times New Roman" w:eastAsia="方正仿宋_GBK" w:cs="Times New Roman"/>
          <w:sz w:val="28"/>
          <w:szCs w:val="28"/>
        </w:rPr>
        <w:t>日印发</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94B6B"/>
    <w:rsid w:val="00D72607"/>
    <w:rsid w:val="02A11C60"/>
    <w:rsid w:val="08577311"/>
    <w:rsid w:val="08644D9D"/>
    <w:rsid w:val="086B3FFE"/>
    <w:rsid w:val="09141BF4"/>
    <w:rsid w:val="0F894B6B"/>
    <w:rsid w:val="107A4215"/>
    <w:rsid w:val="14FF2B7F"/>
    <w:rsid w:val="16933D59"/>
    <w:rsid w:val="17D64B12"/>
    <w:rsid w:val="1CB559FC"/>
    <w:rsid w:val="1CD13D54"/>
    <w:rsid w:val="1CD43FC7"/>
    <w:rsid w:val="208F58B7"/>
    <w:rsid w:val="22934FBF"/>
    <w:rsid w:val="2990183F"/>
    <w:rsid w:val="2C233D76"/>
    <w:rsid w:val="2EE32C56"/>
    <w:rsid w:val="34FA47FA"/>
    <w:rsid w:val="380F7D18"/>
    <w:rsid w:val="38CB41BA"/>
    <w:rsid w:val="3B347169"/>
    <w:rsid w:val="3DF813E7"/>
    <w:rsid w:val="3F934ED1"/>
    <w:rsid w:val="3FFFB1EA"/>
    <w:rsid w:val="4698733E"/>
    <w:rsid w:val="484740A8"/>
    <w:rsid w:val="488440EC"/>
    <w:rsid w:val="4D4D0F3E"/>
    <w:rsid w:val="521627B9"/>
    <w:rsid w:val="535B75CD"/>
    <w:rsid w:val="53EC6EBC"/>
    <w:rsid w:val="53FD5056"/>
    <w:rsid w:val="5F166FCB"/>
    <w:rsid w:val="6032369E"/>
    <w:rsid w:val="61B96A60"/>
    <w:rsid w:val="63D47742"/>
    <w:rsid w:val="67FDA28A"/>
    <w:rsid w:val="694110E9"/>
    <w:rsid w:val="6E22598D"/>
    <w:rsid w:val="71147D94"/>
    <w:rsid w:val="71334DC6"/>
    <w:rsid w:val="7763043E"/>
    <w:rsid w:val="7CBF22AA"/>
    <w:rsid w:val="7D8D5EEE"/>
    <w:rsid w:val="7E225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2025-03-14T01:00:00Z</dcterms:created>
  <dc:creator>易炼</dc:creator>
  <cp:lastModifiedBy>kjjyl</cp:lastModifiedBy>
  <dcterms:modified xsi:type="dcterms:W3CDTF">2025-03-24T14:34:13Z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A6F33B6C36544A8E8ACB1D99953223CE</vt:lpwstr>
  </property>
</Properties>
</file>